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F2" w:rsidRDefault="008B04F2" w:rsidP="008B04F2">
      <w:pPr>
        <w:jc w:val="center"/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>
            <v:imagedata r:id="rId5" o:title=""/>
          </v:shape>
          <o:OLEObject Type="Embed" ProgID="CorelPHOTOPAINT.Image.16" ShapeID="_x0000_i1025" DrawAspect="Content" ObjectID="_1597484330" r:id="rId6"/>
        </w:object>
      </w:r>
    </w:p>
    <w:p w:rsidR="008B04F2" w:rsidRPr="008B04F2" w:rsidRDefault="008B04F2" w:rsidP="008B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F2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8B04F2" w:rsidRPr="008B04F2" w:rsidRDefault="008B04F2" w:rsidP="008B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F2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B04F2" w:rsidRPr="008B04F2" w:rsidRDefault="008B04F2" w:rsidP="008B04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4F2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8B04F2" w:rsidRPr="008B04F2" w:rsidRDefault="008B04F2" w:rsidP="008B04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4F2" w:rsidRDefault="008B04F2" w:rsidP="008B04F2">
      <w:pPr>
        <w:jc w:val="both"/>
        <w:rPr>
          <w:rFonts w:ascii="Times New Roman" w:hAnsi="Times New Roman" w:cs="Times New Roman"/>
          <w:sz w:val="28"/>
          <w:szCs w:val="28"/>
        </w:rPr>
      </w:pPr>
      <w:r w:rsidRPr="008B04F2">
        <w:rPr>
          <w:rFonts w:ascii="Times New Roman" w:hAnsi="Times New Roman" w:cs="Times New Roman"/>
          <w:sz w:val="28"/>
          <w:szCs w:val="28"/>
        </w:rPr>
        <w:t xml:space="preserve">    от </w:t>
      </w:r>
      <w:r w:rsidR="00C51AF2" w:rsidRPr="00C51AF2">
        <w:rPr>
          <w:rFonts w:ascii="Times New Roman" w:hAnsi="Times New Roman" w:cs="Times New Roman"/>
          <w:sz w:val="28"/>
          <w:szCs w:val="28"/>
          <w:u w:val="single"/>
        </w:rPr>
        <w:t>24.08.2018 г.</w:t>
      </w:r>
      <w:r w:rsidRPr="008B04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51A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4F2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 w:rsidR="00C51AF2" w:rsidRPr="00C51AF2">
        <w:rPr>
          <w:rFonts w:ascii="Times New Roman" w:hAnsi="Times New Roman" w:cs="Times New Roman"/>
          <w:sz w:val="28"/>
          <w:szCs w:val="28"/>
          <w:u w:val="single"/>
        </w:rPr>
        <w:t>326</w:t>
      </w:r>
    </w:p>
    <w:p w:rsidR="008B04F2" w:rsidRDefault="008B04F2" w:rsidP="008B0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4F2">
        <w:rPr>
          <w:rFonts w:ascii="Times New Roman" w:hAnsi="Times New Roman" w:cs="Times New Roman"/>
          <w:sz w:val="28"/>
          <w:szCs w:val="28"/>
        </w:rPr>
        <w:t>г. Хадыженск</w:t>
      </w:r>
    </w:p>
    <w:p w:rsidR="00946957" w:rsidRPr="008B04F2" w:rsidRDefault="00946957" w:rsidP="008B0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957" w:rsidRPr="00946957" w:rsidRDefault="008B04F2" w:rsidP="00946957">
      <w:pPr>
        <w:pStyle w:val="1"/>
        <w:spacing w:before="0" w:after="0"/>
        <w:ind w:left="0"/>
        <w:contextualSpacing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4695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946957">
        <w:rPr>
          <w:rFonts w:ascii="Times New Roman" w:hAnsi="Times New Roman" w:cs="Times New Roman"/>
          <w:bCs w:val="0"/>
          <w:color w:val="000000"/>
          <w:sz w:val="28"/>
          <w:szCs w:val="28"/>
        </w:rPr>
        <w:t>Методики</w:t>
      </w:r>
    </w:p>
    <w:p w:rsidR="00946957" w:rsidRPr="00946957" w:rsidRDefault="00946957" w:rsidP="00946957">
      <w:pPr>
        <w:pStyle w:val="1"/>
        <w:spacing w:before="0" w:after="0"/>
        <w:ind w:left="0" w:firstLine="0"/>
        <w:contextualSpacing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46957">
        <w:rPr>
          <w:rFonts w:ascii="Times New Roman" w:hAnsi="Times New Roman" w:cs="Times New Roman"/>
          <w:bCs w:val="0"/>
          <w:color w:val="000000"/>
          <w:sz w:val="28"/>
          <w:szCs w:val="28"/>
        </w:rPr>
        <w:t>оценки эффективности использования средств местного бюджета, направляемых на капитальные вложения</w:t>
      </w:r>
    </w:p>
    <w:p w:rsidR="008B04F2" w:rsidRPr="00EB525A" w:rsidRDefault="008B04F2" w:rsidP="008B04F2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8B04F2" w:rsidRPr="00EB525A" w:rsidRDefault="008B04F2" w:rsidP="009E029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B525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 исполнение пункта 4 положения </w:t>
      </w:r>
      <w:r w:rsidRPr="00482305">
        <w:rPr>
          <w:color w:val="000000"/>
          <w:sz w:val="28"/>
          <w:szCs w:val="28"/>
        </w:rPr>
        <w:t>о порядке проведения проверки инвестиционных проектов,</w:t>
      </w:r>
      <w:r>
        <w:rPr>
          <w:color w:val="000000"/>
          <w:sz w:val="28"/>
          <w:szCs w:val="28"/>
        </w:rPr>
        <w:t xml:space="preserve"> </w:t>
      </w:r>
      <w:r w:rsidRPr="00482305">
        <w:rPr>
          <w:color w:val="000000"/>
          <w:sz w:val="28"/>
          <w:szCs w:val="28"/>
        </w:rPr>
        <w:t>финансирование которых планируется осуществлять полностью</w:t>
      </w:r>
      <w:r>
        <w:rPr>
          <w:color w:val="000000"/>
          <w:sz w:val="28"/>
          <w:szCs w:val="28"/>
        </w:rPr>
        <w:t xml:space="preserve"> </w:t>
      </w:r>
      <w:r w:rsidRPr="00482305">
        <w:rPr>
          <w:color w:val="000000"/>
          <w:sz w:val="28"/>
          <w:szCs w:val="28"/>
        </w:rPr>
        <w:t xml:space="preserve">или частично за счет средств бюджета </w:t>
      </w:r>
      <w:proofErr w:type="spellStart"/>
      <w:r w:rsidRPr="001E1C3D">
        <w:rPr>
          <w:color w:val="000000"/>
          <w:sz w:val="28"/>
          <w:szCs w:val="28"/>
        </w:rPr>
        <w:t>Хадыженского</w:t>
      </w:r>
      <w:proofErr w:type="spellEnd"/>
      <w:r w:rsidRPr="001E1C3D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поселения Апшеронского района</w:t>
      </w:r>
      <w:r w:rsidRPr="00482305">
        <w:rPr>
          <w:color w:val="000000"/>
          <w:sz w:val="28"/>
          <w:szCs w:val="28"/>
        </w:rPr>
        <w:t>, на предмет эффективности использования направляемых на капитальные вложения бюджетных средств</w:t>
      </w:r>
      <w:r>
        <w:rPr>
          <w:color w:val="000000"/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color w:val="000000"/>
          <w:sz w:val="28"/>
          <w:szCs w:val="28"/>
        </w:rPr>
        <w:t>Хадыженского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Апшеронского района от </w:t>
      </w:r>
      <w:r w:rsidR="00946957">
        <w:rPr>
          <w:color w:val="000000"/>
          <w:sz w:val="28"/>
          <w:szCs w:val="28"/>
        </w:rPr>
        <w:t>27 июля 2018 года</w:t>
      </w:r>
      <w:r>
        <w:rPr>
          <w:color w:val="000000"/>
          <w:sz w:val="28"/>
          <w:szCs w:val="28"/>
        </w:rPr>
        <w:t xml:space="preserve"> №</w:t>
      </w:r>
      <w:r w:rsidR="00946957">
        <w:rPr>
          <w:color w:val="000000"/>
          <w:sz w:val="28"/>
          <w:szCs w:val="28"/>
        </w:rPr>
        <w:t xml:space="preserve"> 290</w:t>
      </w:r>
      <w:r w:rsidRPr="00EB525A">
        <w:rPr>
          <w:color w:val="000000"/>
          <w:sz w:val="28"/>
          <w:szCs w:val="28"/>
        </w:rPr>
        <w:t xml:space="preserve"> постановляю:</w:t>
      </w:r>
      <w:proofErr w:type="gramEnd"/>
    </w:p>
    <w:p w:rsidR="008B04F2" w:rsidRPr="008B04F2" w:rsidRDefault="008B04F2" w:rsidP="008B04F2">
      <w:pPr>
        <w:pStyle w:val="1"/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B04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r w:rsidR="00DA33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етодику </w:t>
      </w:r>
      <w:r w:rsidRPr="008B04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оценки эффективности использования средств местного бюджета, направляемых на капитальные вложения</w:t>
      </w:r>
      <w:r w:rsidRPr="008B04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прилагается</w:t>
      </w:r>
      <w:r w:rsidRPr="008B04F2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8B04F2" w:rsidRDefault="00946957" w:rsidP="008B04F2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B04F2" w:rsidRPr="0009364B">
        <w:rPr>
          <w:color w:val="000000"/>
          <w:sz w:val="28"/>
          <w:szCs w:val="28"/>
        </w:rPr>
        <w:t xml:space="preserve">. </w:t>
      </w:r>
      <w:r w:rsidR="008B04F2">
        <w:rPr>
          <w:sz w:val="28"/>
          <w:szCs w:val="28"/>
        </w:rPr>
        <w:t xml:space="preserve">Отделу по вопросам культуры, молодежи, физической культуры и спорта администрации </w:t>
      </w:r>
      <w:proofErr w:type="spellStart"/>
      <w:r w:rsidR="008B04F2">
        <w:rPr>
          <w:sz w:val="28"/>
          <w:szCs w:val="28"/>
        </w:rPr>
        <w:t>Хадыженского</w:t>
      </w:r>
      <w:proofErr w:type="spellEnd"/>
      <w:r w:rsidR="008B04F2">
        <w:rPr>
          <w:sz w:val="28"/>
          <w:szCs w:val="28"/>
        </w:rPr>
        <w:t xml:space="preserve"> городского поселения Апшеронского района (</w:t>
      </w:r>
      <w:proofErr w:type="spellStart"/>
      <w:r w:rsidR="008B04F2">
        <w:rPr>
          <w:sz w:val="28"/>
          <w:szCs w:val="28"/>
        </w:rPr>
        <w:t>Чирко</w:t>
      </w:r>
      <w:proofErr w:type="spellEnd"/>
      <w:r w:rsidR="008B04F2">
        <w:rPr>
          <w:sz w:val="28"/>
          <w:szCs w:val="28"/>
        </w:rPr>
        <w:t xml:space="preserve">) </w:t>
      </w:r>
      <w:r w:rsidR="003C6BC4">
        <w:rPr>
          <w:sz w:val="28"/>
          <w:szCs w:val="28"/>
        </w:rPr>
        <w:t>разместить,</w:t>
      </w:r>
      <w:r w:rsidR="008B04F2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B04F2">
        <w:rPr>
          <w:sz w:val="28"/>
          <w:szCs w:val="28"/>
        </w:rPr>
        <w:t>Хадыженского</w:t>
      </w:r>
      <w:proofErr w:type="spellEnd"/>
      <w:r w:rsidR="008B04F2">
        <w:rPr>
          <w:sz w:val="28"/>
          <w:szCs w:val="28"/>
        </w:rPr>
        <w:t xml:space="preserve"> городского поселения Апшеронского района.</w:t>
      </w:r>
    </w:p>
    <w:p w:rsidR="008B04F2" w:rsidRPr="00482305" w:rsidRDefault="00946957" w:rsidP="008B04F2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04F2">
        <w:rPr>
          <w:color w:val="000000"/>
          <w:sz w:val="28"/>
          <w:szCs w:val="28"/>
        </w:rPr>
        <w:t xml:space="preserve">. </w:t>
      </w:r>
      <w:proofErr w:type="gramStart"/>
      <w:r w:rsidR="008B04F2" w:rsidRPr="00482305">
        <w:rPr>
          <w:color w:val="000000"/>
          <w:sz w:val="28"/>
          <w:szCs w:val="28"/>
        </w:rPr>
        <w:t>Контроль за</w:t>
      </w:r>
      <w:proofErr w:type="gramEnd"/>
      <w:r w:rsidR="008B04F2" w:rsidRPr="0048230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B04F2" w:rsidRPr="00482305" w:rsidRDefault="00946957" w:rsidP="008B04F2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B04F2">
        <w:rPr>
          <w:color w:val="000000"/>
          <w:sz w:val="28"/>
          <w:szCs w:val="28"/>
        </w:rPr>
        <w:t xml:space="preserve">. </w:t>
      </w:r>
      <w:r w:rsidR="008B04F2" w:rsidRPr="00482305">
        <w:rPr>
          <w:color w:val="000000"/>
          <w:sz w:val="28"/>
          <w:szCs w:val="28"/>
        </w:rPr>
        <w:t>Постановление вступает в силу со дня его подписания.</w:t>
      </w:r>
    </w:p>
    <w:p w:rsidR="008B04F2" w:rsidRDefault="008B04F2" w:rsidP="008B04F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8B04F2" w:rsidRDefault="008B04F2" w:rsidP="008B04F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8B04F2" w:rsidRPr="008B04F2" w:rsidRDefault="008B04F2" w:rsidP="008B04F2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4F2" w:rsidRPr="008B04F2" w:rsidRDefault="008B04F2" w:rsidP="008B04F2">
      <w:pPr>
        <w:tabs>
          <w:tab w:val="num" w:pos="-184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04F2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8B04F2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главы </w:t>
      </w:r>
      <w:proofErr w:type="spellStart"/>
      <w:r w:rsidRPr="008B04F2">
        <w:rPr>
          <w:rFonts w:ascii="Times New Roman" w:hAnsi="Times New Roman" w:cs="Times New Roman"/>
          <w:color w:val="000000"/>
          <w:sz w:val="28"/>
          <w:szCs w:val="28"/>
        </w:rPr>
        <w:t>Хадыженского</w:t>
      </w:r>
      <w:proofErr w:type="spellEnd"/>
    </w:p>
    <w:p w:rsidR="008B04F2" w:rsidRPr="008B04F2" w:rsidRDefault="008B04F2" w:rsidP="008B04F2">
      <w:pPr>
        <w:rPr>
          <w:rFonts w:ascii="Times New Roman" w:hAnsi="Times New Roman" w:cs="Times New Roman"/>
        </w:rPr>
      </w:pPr>
      <w:r w:rsidRPr="008B04F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Апшеронского района</w:t>
      </w:r>
      <w:r w:rsidRPr="008B04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3313">
        <w:rPr>
          <w:rFonts w:ascii="Times New Roman" w:hAnsi="Times New Roman" w:cs="Times New Roman"/>
          <w:sz w:val="28"/>
          <w:szCs w:val="28"/>
        </w:rPr>
        <w:t xml:space="preserve">    </w:t>
      </w:r>
      <w:r w:rsidRPr="008B04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3313">
        <w:rPr>
          <w:rFonts w:ascii="Times New Roman" w:hAnsi="Times New Roman" w:cs="Times New Roman"/>
          <w:sz w:val="28"/>
          <w:szCs w:val="28"/>
        </w:rPr>
        <w:t>Е.Б.Козлова</w:t>
      </w:r>
    </w:p>
    <w:p w:rsidR="008B04F2" w:rsidRPr="008B04F2" w:rsidRDefault="008B04F2">
      <w:pPr>
        <w:rPr>
          <w:rFonts w:ascii="Times New Roman" w:hAnsi="Times New Roman" w:cs="Times New Roman"/>
          <w:sz w:val="28"/>
          <w:szCs w:val="28"/>
        </w:rPr>
      </w:pPr>
    </w:p>
    <w:p w:rsidR="008B04F2" w:rsidRPr="008B04F2" w:rsidRDefault="008B04F2">
      <w:pPr>
        <w:rPr>
          <w:rFonts w:ascii="Times New Roman" w:hAnsi="Times New Roman" w:cs="Times New Roman"/>
          <w:sz w:val="28"/>
          <w:szCs w:val="28"/>
        </w:rPr>
      </w:pPr>
    </w:p>
    <w:p w:rsidR="008B04F2" w:rsidRPr="008B04F2" w:rsidRDefault="008B04F2">
      <w:pPr>
        <w:rPr>
          <w:rFonts w:ascii="Times New Roman" w:hAnsi="Times New Roman" w:cs="Times New Roman"/>
          <w:sz w:val="28"/>
          <w:szCs w:val="28"/>
        </w:rPr>
      </w:pPr>
    </w:p>
    <w:p w:rsidR="008B04F2" w:rsidRDefault="008B04F2">
      <w:pPr>
        <w:rPr>
          <w:rFonts w:ascii="Times New Roman" w:hAnsi="Times New Roman" w:cs="Times New Roman"/>
          <w:sz w:val="28"/>
          <w:szCs w:val="28"/>
        </w:rPr>
      </w:pPr>
    </w:p>
    <w:p w:rsidR="00946957" w:rsidRDefault="00946957">
      <w:pPr>
        <w:rPr>
          <w:rFonts w:ascii="Times New Roman" w:hAnsi="Times New Roman" w:cs="Times New Roman"/>
          <w:sz w:val="28"/>
          <w:szCs w:val="28"/>
        </w:rPr>
      </w:pPr>
    </w:p>
    <w:p w:rsidR="00946957" w:rsidRDefault="00946957">
      <w:pPr>
        <w:rPr>
          <w:rFonts w:ascii="Times New Roman" w:hAnsi="Times New Roman" w:cs="Times New Roman"/>
          <w:sz w:val="28"/>
          <w:szCs w:val="28"/>
        </w:rPr>
      </w:pPr>
    </w:p>
    <w:p w:rsidR="009E0298" w:rsidRDefault="009E0298">
      <w:pPr>
        <w:rPr>
          <w:rFonts w:ascii="Times New Roman" w:hAnsi="Times New Roman" w:cs="Times New Roman"/>
          <w:sz w:val="28"/>
          <w:szCs w:val="28"/>
        </w:rPr>
      </w:pPr>
    </w:p>
    <w:p w:rsidR="003C6BC4" w:rsidRDefault="003C6BC4">
      <w:pPr>
        <w:rPr>
          <w:rFonts w:ascii="Times New Roman" w:hAnsi="Times New Roman" w:cs="Times New Roman"/>
          <w:sz w:val="28"/>
          <w:szCs w:val="28"/>
        </w:rPr>
      </w:pPr>
    </w:p>
    <w:p w:rsidR="00946957" w:rsidRDefault="00946957">
      <w:pPr>
        <w:rPr>
          <w:rFonts w:ascii="Times New Roman" w:hAnsi="Times New Roman" w:cs="Times New Roman"/>
          <w:sz w:val="28"/>
          <w:szCs w:val="28"/>
        </w:rPr>
      </w:pPr>
    </w:p>
    <w:p w:rsidR="00C51AF2" w:rsidRDefault="00C51A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928"/>
        <w:gridCol w:w="4961"/>
      </w:tblGrid>
      <w:tr w:rsidR="00E23DD5" w:rsidTr="009E0298">
        <w:tc>
          <w:tcPr>
            <w:tcW w:w="4928" w:type="dxa"/>
          </w:tcPr>
          <w:p w:rsidR="00E23DD5" w:rsidRDefault="00E23D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E23DD5" w:rsidRDefault="00E23DD5">
            <w:pPr>
              <w:pageBreakBefore/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ПРИЛОЖЕНИЕ</w:t>
            </w:r>
            <w:bookmarkStart w:id="0" w:name="sub_200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bookmarkEnd w:id="0"/>
          <w:p w:rsidR="00E23DD5" w:rsidRDefault="00E23DD5">
            <w:pPr>
              <w:pageBreakBefore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УТВЕРЖДЕНА</w:t>
            </w: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77D2B">
              <w:rPr>
                <w:rStyle w:val="a3"/>
                <w:rFonts w:ascii="Times New Roman" w:hAnsi="Times New Roman"/>
                <w:color w:val="000000"/>
                <w:sz w:val="28"/>
                <w:szCs w:val="28"/>
                <w:u w:val="none"/>
              </w:rPr>
              <w:t>постановлением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администрации</w:t>
            </w:r>
          </w:p>
          <w:p w:rsidR="00E23DD5" w:rsidRDefault="009E0298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Хадыженского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городского поселения </w:t>
            </w:r>
            <w:r w:rsidR="00E23DD5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Апшеронский район</w:t>
            </w:r>
          </w:p>
          <w:p w:rsidR="00E23DD5" w:rsidRDefault="00E23DD5">
            <w:pPr>
              <w:jc w:val="center"/>
            </w:pPr>
            <w:proofErr w:type="spellStart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от___________№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</w:t>
            </w:r>
          </w:p>
        </w:tc>
      </w:tr>
    </w:tbl>
    <w:p w:rsidR="00E23DD5" w:rsidRDefault="00E23DD5" w:rsidP="00E23DD5">
      <w:pPr>
        <w:rPr>
          <w:rFonts w:ascii="Times New Roman" w:hAnsi="Times New Roman"/>
          <w:color w:val="000000"/>
          <w:sz w:val="28"/>
          <w:szCs w:val="28"/>
        </w:rPr>
      </w:pPr>
    </w:p>
    <w:p w:rsidR="00E23DD5" w:rsidRDefault="00E23DD5" w:rsidP="00E23DD5">
      <w:pPr>
        <w:rPr>
          <w:rFonts w:ascii="Times New Roman" w:hAnsi="Times New Roman"/>
          <w:color w:val="000000"/>
          <w:sz w:val="28"/>
          <w:szCs w:val="28"/>
        </w:rPr>
      </w:pPr>
    </w:p>
    <w:p w:rsidR="00E23DD5" w:rsidRDefault="00E23DD5" w:rsidP="00E23DD5">
      <w:pPr>
        <w:pStyle w:val="1"/>
        <w:spacing w:before="0" w:after="0"/>
        <w:ind w:left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МЕТОДИКА</w:t>
      </w:r>
    </w:p>
    <w:p w:rsidR="00E23DD5" w:rsidRDefault="00E23DD5" w:rsidP="00B77D2B">
      <w:pPr>
        <w:pStyle w:val="1"/>
        <w:spacing w:before="0" w:after="0"/>
        <w:ind w:left="0" w:firstLine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оценки эффективности использования средств местного бюджета, направляемых на капитальные вложения</w:t>
      </w:r>
    </w:p>
    <w:p w:rsidR="00E23DD5" w:rsidRDefault="00E23DD5" w:rsidP="00E23D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DD5" w:rsidRDefault="00E23DD5" w:rsidP="00E23DD5">
      <w:pPr>
        <w:pStyle w:val="1"/>
        <w:spacing w:before="0" w:after="0"/>
        <w:ind w:left="0" w:firstLine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sub_2001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Общие положения</w:t>
      </w:r>
    </w:p>
    <w:bookmarkEnd w:id="1"/>
    <w:p w:rsidR="00E23DD5" w:rsidRDefault="00E23DD5" w:rsidP="00E23D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DD5" w:rsidRDefault="00E23DD5" w:rsidP="00E23DD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2011"/>
      <w:r>
        <w:rPr>
          <w:rFonts w:ascii="Times New Roman" w:hAnsi="Times New Roman" w:cs="Times New Roman"/>
          <w:color w:val="000000"/>
          <w:sz w:val="28"/>
          <w:szCs w:val="28"/>
        </w:rPr>
        <w:t>1.1. Методика предназначена для оценки эффективности использования средств местного бюджета, направляемых на капитальные вложения (далее – оценка эффективности), по инвестиционным проектам, финансирование которых планируется осуществлять полностью или частично за счет средств местного бюджета.</w:t>
      </w:r>
    </w:p>
    <w:p w:rsidR="00E23DD5" w:rsidRDefault="00E23DD5" w:rsidP="00E23DD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212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1.2.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E23DD5" w:rsidRDefault="00E23DD5" w:rsidP="00E23DD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213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4"/>
    <w:p w:rsidR="00E23DD5" w:rsidRDefault="00E23DD5" w:rsidP="00E23DD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DD5" w:rsidRDefault="00E23DD5" w:rsidP="00E23DD5">
      <w:pPr>
        <w:pStyle w:val="1"/>
        <w:spacing w:before="0" w:after="0"/>
        <w:ind w:left="0" w:firstLine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5" w:name="sub_2002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Состав, порядок определения баллов оценки качественных критериев и оценки эффективности на основе качественных критериев</w:t>
      </w:r>
    </w:p>
    <w:bookmarkEnd w:id="5"/>
    <w:p w:rsidR="00E23DD5" w:rsidRDefault="00E23DD5" w:rsidP="00E23DD5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1"/>
      <w:r>
        <w:rPr>
          <w:rFonts w:ascii="Times New Roman" w:hAnsi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2"/>
      <w:bookmarkEnd w:id="6"/>
      <w:r>
        <w:rPr>
          <w:rFonts w:ascii="Times New Roman" w:hAnsi="Times New Roman" w:cs="Times New Roman"/>
          <w:sz w:val="28"/>
          <w:szCs w:val="28"/>
        </w:rPr>
        <w:t xml:space="preserve">б) соответствие цели инвестиционного проекта приоритетам и целям, определенным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стратегии и программе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3"/>
      <w:bookmarkEnd w:id="7"/>
      <w:r>
        <w:rPr>
          <w:rFonts w:ascii="Times New Roman" w:hAnsi="Times New Roman" w:cs="Times New Roman"/>
          <w:sz w:val="28"/>
          <w:szCs w:val="28"/>
        </w:rPr>
        <w:t xml:space="preserve">в) комплексный подход к реализации конкретной проблемы в рамках инвестиционного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во взаимосвязи с программными мероприятиями, реализуемыми в рамках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4"/>
      <w:bookmarkEnd w:id="8"/>
      <w:r>
        <w:rPr>
          <w:rFonts w:ascii="Times New Roman" w:hAnsi="Times New Roman" w:cs="Times New Roman"/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инвестиционного проекта, в связи с осуществлением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соответствующими органами местного самоуправления полномочий, отнесенных к предмету их ведения</w:t>
      </w:r>
      <w:r>
        <w:rPr>
          <w:rFonts w:ascii="Times New Roman" w:hAnsi="Times New Roman" w:cs="Times New Roman"/>
          <w:sz w:val="28"/>
          <w:szCs w:val="28"/>
        </w:rPr>
        <w:t xml:space="preserve">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 случае приобретения объекта недвижимого имущества в муниципальную собственность </w:t>
      </w:r>
      <w:proofErr w:type="spellStart"/>
      <w:r w:rsidR="00B21A1B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B21A1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Апшеронск</w:t>
      </w:r>
      <w:r w:rsidR="00B21A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1A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проверка по этому критерию также включает подтверждение об отсутствии в казне </w:t>
      </w:r>
      <w:proofErr w:type="spellStart"/>
      <w:r w:rsidR="00B21A1B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B21A1B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  <w:proofErr w:type="gramEnd"/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5"/>
      <w:bookmarkEnd w:id="9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отсутствие в достаточном объеме замещающей продукции (работ и услуг), производимой иными организациями;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6"/>
      <w:bookmarkEnd w:id="10"/>
      <w:r>
        <w:rPr>
          <w:rFonts w:ascii="Times New Roman" w:hAnsi="Times New Roman" w:cs="Times New Roman"/>
          <w:sz w:val="28"/>
          <w:szCs w:val="28"/>
        </w:rPr>
        <w:t>е) обоснование необходимости реализации инвестиционного проекта с привлечением средств местного бюджета.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7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долгосрочных и ведомственных целевых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, реализуемых за счет субсидий краевого бюджета местным бюджетам,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</w:t>
      </w:r>
      <w:proofErr w:type="spellStart"/>
      <w:r w:rsidR="00B50798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B50798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либо приобретение объектов недвижимого имущества в муниципальную собственность </w:t>
      </w:r>
      <w:proofErr w:type="spellStart"/>
      <w:r w:rsidR="00B50798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B50798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, осуществляемых в рамках инвестиционных проектов;</w:t>
      </w:r>
      <w:proofErr w:type="gramEnd"/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8"/>
      <w:bookmarkEnd w:id="12"/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9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</w:t>
      </w:r>
      <w:r w:rsidRPr="00AB0AF9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anchor="sub_1311" w:history="1">
        <w:r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третьем подпункта "а"</w:t>
        </w:r>
      </w:hyperlink>
      <w:r w:rsidRPr="00AB0AF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anchor="sub_1331" w:history="1">
        <w:r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третьем подпункта "в"</w:t>
        </w:r>
      </w:hyperlink>
      <w:r w:rsidRPr="00AB0AF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9" w:anchor="sub_315" w:history="1">
        <w:r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подпунктах "</w:t>
        </w:r>
        <w:proofErr w:type="spellStart"/>
        <w:r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д</w:t>
        </w:r>
        <w:proofErr w:type="spellEnd"/>
        <w:r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"</w:t>
        </w:r>
      </w:hyperlink>
      <w:r w:rsidRPr="00AB0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AF9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anchor="sub_316" w:history="1">
        <w:r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"</w:t>
        </w:r>
        <w:r w:rsidR="00AB0AF9"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ж</w:t>
        </w:r>
        <w:r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" пункта 3</w:t>
        </w:r>
      </w:hyperlink>
      <w:r w:rsidRPr="00B77D2B">
        <w:rPr>
          <w:rFonts w:ascii="Times New Roman" w:hAnsi="Times New Roman" w:cs="Times New Roman"/>
          <w:sz w:val="28"/>
          <w:szCs w:val="28"/>
        </w:rPr>
        <w:t xml:space="preserve"> </w:t>
      </w:r>
      <w:r w:rsidRPr="00461112">
        <w:rPr>
          <w:rFonts w:ascii="Times New Roman" w:hAnsi="Times New Roman" w:cs="Times New Roman"/>
          <w:sz w:val="28"/>
          <w:szCs w:val="28"/>
        </w:rPr>
        <w:t>П</w:t>
      </w:r>
      <w:r w:rsidR="00461112" w:rsidRPr="00461112">
        <w:rPr>
          <w:rFonts w:ascii="Times New Roman" w:hAnsi="Times New Roman" w:cs="Times New Roman"/>
          <w:sz w:val="28"/>
          <w:szCs w:val="28"/>
        </w:rPr>
        <w:t>о</w:t>
      </w:r>
      <w:r w:rsidR="006343D9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3D9" w:rsidRPr="006343D9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proofErr w:type="spellStart"/>
      <w:r w:rsidR="006343D9" w:rsidRPr="006343D9">
        <w:rPr>
          <w:rFonts w:ascii="Times New Roman" w:hAnsi="Times New Roman" w:cs="Times New Roman"/>
          <w:color w:val="000000"/>
          <w:sz w:val="28"/>
          <w:szCs w:val="28"/>
        </w:rPr>
        <w:t>Хадыженского</w:t>
      </w:r>
      <w:proofErr w:type="spellEnd"/>
      <w:r w:rsidR="006343D9" w:rsidRPr="006343D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района, на предмет эффективности использования</w:t>
      </w:r>
      <w:proofErr w:type="gramEnd"/>
      <w:r w:rsidR="006343D9" w:rsidRPr="00634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343D9" w:rsidRPr="006343D9">
        <w:rPr>
          <w:rFonts w:ascii="Times New Roman" w:hAnsi="Times New Roman" w:cs="Times New Roman"/>
          <w:color w:val="000000"/>
          <w:sz w:val="28"/>
          <w:szCs w:val="28"/>
        </w:rPr>
        <w:t>направляемых на капитальные вложения бюджетных средств</w:t>
      </w:r>
      <w:r w:rsidRPr="0063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50798">
        <w:rPr>
          <w:rFonts w:ascii="Times New Roman" w:hAnsi="Times New Roman" w:cs="Times New Roman"/>
          <w:sz w:val="28"/>
          <w:szCs w:val="28"/>
        </w:rPr>
        <w:t>По</w:t>
      </w:r>
      <w:r w:rsidR="006343D9">
        <w:rPr>
          <w:rFonts w:ascii="Times New Roman" w:hAnsi="Times New Roman" w:cs="Times New Roman"/>
          <w:sz w:val="28"/>
          <w:szCs w:val="28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>),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3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</w:t>
      </w:r>
      <w:hyperlink r:id="rId11" w:anchor="sub_1312" w:history="1">
        <w:r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втором подпункта "а"</w:t>
        </w:r>
      </w:hyperlink>
      <w:r w:rsidR="00AB0AF9" w:rsidRPr="00AB0AF9">
        <w:rPr>
          <w:rFonts w:ascii="Times New Roman" w:hAnsi="Times New Roman" w:cs="Times New Roman"/>
          <w:sz w:val="28"/>
          <w:szCs w:val="28"/>
        </w:rPr>
        <w:t>,</w:t>
      </w:r>
      <w:r w:rsidRPr="00AB0AF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anchor="sub_1332" w:history="1">
        <w:r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абзаце втором подпункта "в" </w:t>
        </w:r>
        <w:r w:rsidR="00AB0AF9"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и абзаце втором подпункта "ж" пункта </w:t>
        </w:r>
        <w:r w:rsidRPr="00AB0AF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5AA">
        <w:rPr>
          <w:rFonts w:ascii="Times New Roman" w:hAnsi="Times New Roman" w:cs="Times New Roman"/>
          <w:sz w:val="28"/>
          <w:szCs w:val="28"/>
        </w:rPr>
        <w:t>По</w:t>
      </w:r>
      <w:r w:rsidR="006343D9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Оценка эффективности на основе качественных критериев рассчитывается по следующей формуле: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00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995" cy="2609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балл оценки i-ого качественного критерия; 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995" cy="225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общее количество качественных критериев;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" cy="2609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критериев, не применимых к проверяемому инвестиционному проекту.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Требования к определению баллов оценки по каждому из качественных критериев установлены </w:t>
      </w:r>
      <w:hyperlink r:id="rId17" w:anchor="sub_224" w:history="1">
        <w:r w:rsidRPr="001A3AB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2.4 - 2.13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значения баллов оценки по каждому из качественных критериев приведены в графе "Допустимые баллы оценки" </w:t>
      </w:r>
      <w:hyperlink r:id="rId18" w:anchor="sub_20101" w:history="1">
        <w:r w:rsidRPr="001A3AB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1 приложения № 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настоящей Методике.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4"/>
      <w:r>
        <w:rPr>
          <w:rFonts w:ascii="Times New Roman" w:hAnsi="Times New Roman" w:cs="Times New Roman"/>
          <w:sz w:val="28"/>
          <w:szCs w:val="28"/>
        </w:rPr>
        <w:t>2.4.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bookmarkEnd w:id="16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социально-экономические результаты реализации инвестиционного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r:id="rId19" w:anchor="sub_203" w:history="1">
        <w:r w:rsidRPr="001A3AB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Приведенный перечень количественных показателей не является исчерпывающим. С учетом специфики инвестиционного проекта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определены иные показатели, характеризующие конечный результат реализации инвестиционного проекта.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5"/>
      <w:r>
        <w:rPr>
          <w:rFonts w:ascii="Times New Roman" w:hAnsi="Times New Roman" w:cs="Times New Roman"/>
          <w:sz w:val="28"/>
          <w:szCs w:val="28"/>
        </w:rPr>
        <w:t xml:space="preserve">2.5. Критерий - соответствие цели инвестиционного проекта приоритетам и целям, определенны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стратегией и программой социально-экономического развития, долгосрочными и ведомственными целевыми программами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приводится формулировка цели со ссылкой на соответствующий документ.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6"/>
      <w:r>
        <w:rPr>
          <w:rFonts w:ascii="Times New Roman" w:hAnsi="Times New Roman" w:cs="Times New Roman"/>
          <w:sz w:val="28"/>
          <w:szCs w:val="28"/>
        </w:rPr>
        <w:t xml:space="preserve">2.6. Критерий - комплексный подход к решению конкретной проблемы в рамках инвестиционного проекта во взаимосвязи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программными мероприятиями, реализуемыми в рамках долгосрочных и ведомственных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комплексного подхода к решению конкретной проблемы в рамках инвестиционного проекта (балл, равный 1) является соответствие цели инвестиционного проекта задаче программным мероприятиям, решение которой обеспечивает реализация предлагаемого инвестиционного проекта. Приводится наименование соответствующей муниципальной программы, а также наименование мероприятия государственной программы Краснодарского края, выполнение которого обеспечит осуществление инвестиционного проекта. Для государственных программ Краснодарского края также указываются дата утверждения, реквизиты.</w:t>
      </w:r>
    </w:p>
    <w:p w:rsidR="00421DA4" w:rsidRDefault="00E23DD5" w:rsidP="00421DA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19" w:name="sub_227"/>
      <w:r w:rsidRPr="00421DA4">
        <w:rPr>
          <w:sz w:val="28"/>
          <w:szCs w:val="28"/>
        </w:rPr>
        <w:t xml:space="preserve">2.7. </w:t>
      </w:r>
      <w:bookmarkStart w:id="20" w:name="sub_228"/>
      <w:bookmarkEnd w:id="19"/>
      <w:r w:rsidR="00421DA4" w:rsidRPr="00421DA4">
        <w:rPr>
          <w:spacing w:val="2"/>
          <w:sz w:val="28"/>
          <w:szCs w:val="28"/>
        </w:rPr>
        <w:t>Критерий - необходимость строительства реконструкции, в том числе с элементами реставрации,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</w:t>
      </w:r>
    </w:p>
    <w:p w:rsidR="00421DA4" w:rsidRDefault="00421DA4" w:rsidP="00421DA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21DA4">
        <w:rPr>
          <w:spacing w:val="2"/>
          <w:sz w:val="28"/>
          <w:szCs w:val="28"/>
        </w:rPr>
        <w:t xml:space="preserve">Балл, равный 1, присваивается при наличии обоснования невозможности осуществления </w:t>
      </w:r>
      <w:r>
        <w:rPr>
          <w:spacing w:val="2"/>
          <w:sz w:val="28"/>
          <w:szCs w:val="28"/>
        </w:rPr>
        <w:t>м</w:t>
      </w:r>
      <w:r w:rsidRPr="00421DA4">
        <w:rPr>
          <w:spacing w:val="2"/>
          <w:sz w:val="28"/>
          <w:szCs w:val="28"/>
        </w:rPr>
        <w:t>униципальными органами полномочий, отнесенных к предмету их ведения:</w:t>
      </w:r>
    </w:p>
    <w:p w:rsidR="00421DA4" w:rsidRDefault="00421DA4" w:rsidP="00421DA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21DA4">
        <w:rPr>
          <w:spacing w:val="2"/>
          <w:sz w:val="28"/>
          <w:szCs w:val="28"/>
        </w:rPr>
        <w:t>а) без строительства объекта капитального строительства, создаваемого в рамках инвестиционного проекта;</w:t>
      </w:r>
    </w:p>
    <w:p w:rsidR="00421DA4" w:rsidRDefault="00421DA4" w:rsidP="00421DA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21DA4">
        <w:rPr>
          <w:spacing w:val="2"/>
          <w:sz w:val="28"/>
          <w:szCs w:val="28"/>
        </w:rPr>
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421DA4" w:rsidRPr="00421DA4" w:rsidRDefault="00421DA4" w:rsidP="00421DA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21DA4">
        <w:rPr>
          <w:spacing w:val="2"/>
          <w:sz w:val="28"/>
          <w:szCs w:val="28"/>
          <w:shd w:val="clear" w:color="auto" w:fill="FFFFFF"/>
        </w:rPr>
        <w:t xml:space="preserve"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421DA4">
        <w:rPr>
          <w:spacing w:val="2"/>
          <w:sz w:val="28"/>
          <w:szCs w:val="28"/>
          <w:shd w:val="clear" w:color="auto" w:fill="FFFFFF"/>
        </w:rPr>
        <w:t xml:space="preserve">В случае приобретения объекта недвижимого имущества в </w:t>
      </w:r>
      <w:r>
        <w:rPr>
          <w:spacing w:val="2"/>
          <w:sz w:val="28"/>
          <w:szCs w:val="28"/>
          <w:shd w:val="clear" w:color="auto" w:fill="FFFFFF"/>
        </w:rPr>
        <w:t xml:space="preserve">муниципальную </w:t>
      </w:r>
      <w:r>
        <w:rPr>
          <w:spacing w:val="2"/>
          <w:sz w:val="28"/>
          <w:szCs w:val="28"/>
          <w:shd w:val="clear" w:color="auto" w:fill="FFFFFF"/>
        </w:rPr>
        <w:lastRenderedPageBreak/>
        <w:t>собственность</w:t>
      </w:r>
      <w:r w:rsidRPr="00421DA4">
        <w:rPr>
          <w:spacing w:val="2"/>
          <w:sz w:val="28"/>
          <w:szCs w:val="28"/>
          <w:shd w:val="clear" w:color="auto" w:fill="FFFFFF"/>
        </w:rPr>
        <w:t xml:space="preserve"> также представляется подтверждение </w:t>
      </w:r>
      <w:r w:rsidR="00D959F4">
        <w:rPr>
          <w:spacing w:val="2"/>
          <w:sz w:val="28"/>
          <w:szCs w:val="28"/>
          <w:shd w:val="clear" w:color="auto" w:fill="FFFFFF"/>
        </w:rPr>
        <w:t xml:space="preserve">администрацией </w:t>
      </w:r>
      <w:proofErr w:type="spellStart"/>
      <w:r w:rsidR="00D959F4">
        <w:rPr>
          <w:spacing w:val="2"/>
          <w:sz w:val="28"/>
          <w:szCs w:val="28"/>
          <w:shd w:val="clear" w:color="auto" w:fill="FFFFFF"/>
        </w:rPr>
        <w:t>Хадыженского</w:t>
      </w:r>
      <w:proofErr w:type="spellEnd"/>
      <w:r w:rsidR="00D959F4">
        <w:rPr>
          <w:spacing w:val="2"/>
          <w:sz w:val="28"/>
          <w:szCs w:val="28"/>
          <w:shd w:val="clear" w:color="auto" w:fill="FFFFFF"/>
        </w:rPr>
        <w:t xml:space="preserve"> городского поселения Апшеронского района</w:t>
      </w:r>
      <w:r w:rsidRPr="00421DA4">
        <w:rPr>
          <w:spacing w:val="2"/>
          <w:sz w:val="28"/>
          <w:szCs w:val="28"/>
          <w:shd w:val="clear" w:color="auto" w:fill="FFFFFF"/>
        </w:rPr>
        <w:t xml:space="preserve"> отсутствия в казне </w:t>
      </w:r>
      <w:r w:rsidR="00D959F4">
        <w:rPr>
          <w:spacing w:val="2"/>
          <w:sz w:val="28"/>
          <w:szCs w:val="28"/>
          <w:shd w:val="clear" w:color="auto" w:fill="FFFFFF"/>
        </w:rPr>
        <w:t xml:space="preserve">администрацией </w:t>
      </w:r>
      <w:proofErr w:type="spellStart"/>
      <w:r w:rsidR="00D959F4">
        <w:rPr>
          <w:spacing w:val="2"/>
          <w:sz w:val="28"/>
          <w:szCs w:val="28"/>
          <w:shd w:val="clear" w:color="auto" w:fill="FFFFFF"/>
        </w:rPr>
        <w:t>Хадыженского</w:t>
      </w:r>
      <w:proofErr w:type="spellEnd"/>
      <w:r w:rsidR="00D959F4">
        <w:rPr>
          <w:spacing w:val="2"/>
          <w:sz w:val="28"/>
          <w:szCs w:val="28"/>
          <w:shd w:val="clear" w:color="auto" w:fill="FFFFFF"/>
        </w:rPr>
        <w:t xml:space="preserve"> городского поселения Апшеронского района</w:t>
      </w:r>
      <w:r w:rsidRPr="00421DA4">
        <w:rPr>
          <w:spacing w:val="2"/>
          <w:sz w:val="28"/>
          <w:szCs w:val="28"/>
          <w:shd w:val="clear" w:color="auto" w:fill="FFFFFF"/>
        </w:rPr>
        <w:t xml:space="preserve">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proofErr w:type="gramEnd"/>
    </w:p>
    <w:p w:rsidR="00E23DD5" w:rsidRDefault="00E23DD5" w:rsidP="00421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Критерий - отсутствие в достаточном объеме замещающей продукции (работ и услуг), производимой иными организациями.</w:t>
      </w:r>
    </w:p>
    <w:bookmarkEnd w:id="20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Балл, равный 1, присваивается в случае, если в рамках инвестиционного проекта предполагается: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81"/>
      <w:r>
        <w:rPr>
          <w:rFonts w:ascii="Times New Roman" w:hAnsi="Times New Roman" w:cs="Times New Roman"/>
          <w:sz w:val="28"/>
          <w:szCs w:val="28"/>
        </w:rPr>
        <w:t>а) производство продукции (работ и услуг), не имеющей мировых и отечественных аналогов;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82"/>
      <w:bookmarkEnd w:id="21"/>
      <w:r>
        <w:rPr>
          <w:rFonts w:ascii="Times New Roman" w:hAnsi="Times New Roman" w:cs="Times New Roman"/>
          <w:sz w:val="28"/>
          <w:szCs w:val="28"/>
        </w:rPr>
        <w:t>б) производство импортозамещающей продукции (работ и услуг);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83"/>
      <w:bookmarkEnd w:id="22"/>
      <w:r>
        <w:rPr>
          <w:rFonts w:ascii="Times New Roman" w:hAnsi="Times New Roman" w:cs="Times New Roman"/>
          <w:sz w:val="28"/>
          <w:szCs w:val="28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bookmarkEnd w:id="23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обоснования соответствия критерию указываются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9"/>
      <w:r>
        <w:rPr>
          <w:rFonts w:ascii="Times New Roman" w:hAnsi="Times New Roman" w:cs="Times New Roman"/>
          <w:sz w:val="28"/>
          <w:szCs w:val="28"/>
        </w:rPr>
        <w:t>2.9. Критерий - обоснование необходимости реализации инвестиционного проекта с привлечением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bookmarkEnd w:id="24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Балл, равный 1, присваивается в случае, если строительство (реконструкция, техническое перевооружение) объекта капитального строительства муниципальной собственности, создаваемого в рамках инвестиционного проекта, предусмотрено проектами государственных программ Краснодарского края, решение о разработке которых принято в порядке, установленном нормативными правовыми актами главы администрации (губернатора) Краснодарского края. Указываются наименование и реквизиты соответствующих документов.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инвестиционным проектам, финансирование которых планируется осуществлять частично за счет средств краевого бюджета, балл, равный 1, присваивается при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следующим требованиям: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91"/>
      <w:r>
        <w:rPr>
          <w:rFonts w:ascii="Times New Roman" w:hAnsi="Times New Roman" w:cs="Times New Roman"/>
          <w:sz w:val="28"/>
          <w:szCs w:val="28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инвестиционного проекта с указанием объема и сроков финансирования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92"/>
      <w:bookmarkEnd w:id="25"/>
      <w:r>
        <w:rPr>
          <w:rFonts w:ascii="Times New Roman" w:hAnsi="Times New Roman" w:cs="Times New Roman"/>
          <w:sz w:val="28"/>
          <w:szCs w:val="28"/>
        </w:rPr>
        <w:t xml:space="preserve">б) соответствие предполагаемого объема и сроков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в представленных документах объему и срокам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предусмотренных паспортом инвестиционного проекта.</w:t>
      </w:r>
    </w:p>
    <w:bookmarkEnd w:id="26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государственной собственности Краснодарского края или муниципальной собственности.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93"/>
      <w:r>
        <w:rPr>
          <w:rFonts w:ascii="Times New Roman" w:hAnsi="Times New Roman" w:cs="Times New Roman"/>
          <w:sz w:val="28"/>
          <w:szCs w:val="28"/>
        </w:rPr>
        <w:t xml:space="preserve">2.10. Критерий - наличие государственных программ Краснодарского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 и муниципальных нормативных правовых актов, реализуемых за счет средств местного бюджета, источником финансового обеспечения которых являются средства краевого бюджета, предусматривающих строительство, реконструкцию и (или) техническое перевооружение объектов капитального строительства государственной собственности Краснодарского края (муниципальной собственности), реализуемых в рамках инвестиционных проектов.</w:t>
      </w:r>
    </w:p>
    <w:bookmarkEnd w:id="27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Балл, равный 1, присваивается в случае, если указаны наименование государственной программы или муниципального нормативного правового акта, в рамках которых планируется реализация инвестиционного проекта, а также документально подтвержденное обязательство Краснодарского края (муниципального образования) по финансированию инвестиционного проекта в объеме и в сроки, предусмотренные паспортом инвестиционного проекта.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строительства, не относящихся к государственной собственности Краснодарского края или муниципальной собственности.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294"/>
      <w:r>
        <w:rPr>
          <w:rFonts w:ascii="Times New Roman" w:hAnsi="Times New Roman" w:cs="Times New Roman"/>
          <w:sz w:val="28"/>
          <w:szCs w:val="28"/>
        </w:rPr>
        <w:t>2.11.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bookmarkEnd w:id="28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91"/>
      <w:r>
        <w:rPr>
          <w:rFonts w:ascii="Times New Roman" w:hAnsi="Times New Roman" w:cs="Times New Roman"/>
          <w:sz w:val="28"/>
          <w:szCs w:val="28"/>
        </w:rPr>
        <w:t>а)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92"/>
      <w:bookmarkEnd w:id="29"/>
      <w:r>
        <w:rPr>
          <w:rFonts w:ascii="Times New Roman" w:hAnsi="Times New Roman" w:cs="Times New Roman"/>
          <w:sz w:val="28"/>
          <w:szCs w:val="28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93"/>
      <w:bookmarkEnd w:id="30"/>
      <w:r>
        <w:rPr>
          <w:rFonts w:ascii="Times New Roman" w:hAnsi="Times New Roman" w:cs="Times New Roman"/>
          <w:sz w:val="28"/>
          <w:szCs w:val="28"/>
        </w:rPr>
        <w:t>в)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 процентов превышает значение соответствующего показателя по проекту-аналогу.</w:t>
      </w:r>
    </w:p>
    <w:bookmarkEnd w:id="31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данному критерию осуществляется путем сравнения инвестиционных проектов с проектами-аналогами.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обшей стоимости строительно-монтажных работ и (или) доля дорогостоящих машин и оборудования в общей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 машин и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оборудования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не превышает значения соответствующих показателей по рассматриваемому проекту.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на соответствие указанному критерию представляются документально подтвержденные сведения по проектам-аналогам, реализуемым (или реализованным) в Краснодарском крае, Российской Федерации или в иностранном государстве в случае отсутствия проектов-аналогов, реализуемых на территории Российской Федерации.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объемно-планировочным решениям. Предлагаемая форма сведений по проекту-аналогу, приведена в </w:t>
      </w:r>
      <w:hyperlink r:id="rId20" w:anchor="sub_204" w:history="1">
        <w:r w:rsidRPr="00BD6B03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221"/>
      <w:r>
        <w:rPr>
          <w:rFonts w:ascii="Times New Roman" w:hAnsi="Times New Roman" w:cs="Times New Roman"/>
          <w:sz w:val="28"/>
          <w:szCs w:val="28"/>
        </w:rPr>
        <w:t>2.12. 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bookmarkEnd w:id="32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95"/>
      <w:r>
        <w:rPr>
          <w:rFonts w:ascii="Times New Roman" w:hAnsi="Times New Roman" w:cs="Times New Roman"/>
          <w:sz w:val="28"/>
          <w:szCs w:val="28"/>
        </w:rPr>
        <w:t>а) для проектов, проектная документация которых разработана и утверждена застройщиком (заказчиком), - наличие в представленных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96"/>
      <w:bookmarkEnd w:id="33"/>
      <w:r>
        <w:rPr>
          <w:rFonts w:ascii="Times New Roman" w:hAnsi="Times New Roman" w:cs="Times New Roman"/>
          <w:sz w:val="28"/>
          <w:szCs w:val="28"/>
        </w:rPr>
        <w:t xml:space="preserve">б) указанный номер подпункта и пункта </w:t>
      </w:r>
      <w:hyperlink r:id="rId21" w:history="1">
        <w:r w:rsidRPr="00BD6B03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статьи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bookmarkEnd w:id="34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краевого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краевого бюджета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</w:r>
      <w:proofErr w:type="gramEnd"/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указанного положения является согласованное с исполнительным органом государственной власти Краснодарского края, инициирующим финансирование проекта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бюджета, задание на проектирование объекта капитального строительства, создаваемого в рамках инвестиционного проекта.</w:t>
      </w:r>
    </w:p>
    <w:p w:rsidR="00E23DD5" w:rsidRPr="003E74EF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231"/>
      <w:r>
        <w:rPr>
          <w:rFonts w:ascii="Times New Roman" w:hAnsi="Times New Roman" w:cs="Times New Roman"/>
          <w:sz w:val="28"/>
          <w:szCs w:val="28"/>
        </w:rPr>
        <w:t xml:space="preserve">2.13. Критерий -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включена в реестр типовой проектной документации, в отношении объектов капитального строительства, указанных </w:t>
      </w:r>
      <w:r w:rsidRPr="003E74E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anchor="sub_1312" w:history="1">
        <w:r w:rsidRPr="003E74E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втором подпункта "а"</w:t>
        </w:r>
      </w:hyperlink>
      <w:r w:rsidR="003E74EF" w:rsidRPr="003E74EF">
        <w:rPr>
          <w:rFonts w:ascii="Times New Roman" w:hAnsi="Times New Roman" w:cs="Times New Roman"/>
          <w:sz w:val="28"/>
          <w:szCs w:val="28"/>
        </w:rPr>
        <w:t>,</w:t>
      </w:r>
      <w:r w:rsidRPr="003E74EF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anchor="sub_1332" w:history="1">
        <w:r w:rsidRPr="003E74E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втором подпункта "в"</w:t>
        </w:r>
        <w:r w:rsidR="003E74E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,</w:t>
        </w:r>
        <w:r w:rsidRPr="003E74E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3E74EF" w:rsidRPr="003E74E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абзаце втором подпункта "ж" пункта </w:t>
        </w:r>
        <w:r w:rsidRPr="003E74E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3E74EF">
        <w:rPr>
          <w:rFonts w:ascii="Times New Roman" w:hAnsi="Times New Roman" w:cs="Times New Roman"/>
          <w:sz w:val="28"/>
          <w:szCs w:val="28"/>
        </w:rPr>
        <w:t xml:space="preserve"> </w:t>
      </w:r>
      <w:r w:rsidR="000745AA">
        <w:rPr>
          <w:rFonts w:ascii="Times New Roman" w:hAnsi="Times New Roman" w:cs="Times New Roman"/>
          <w:sz w:val="28"/>
          <w:szCs w:val="28"/>
        </w:rPr>
        <w:t>По</w:t>
      </w:r>
      <w:r w:rsidR="002D54DE">
        <w:rPr>
          <w:rFonts w:ascii="Times New Roman" w:hAnsi="Times New Roman" w:cs="Times New Roman"/>
          <w:sz w:val="28"/>
          <w:szCs w:val="28"/>
        </w:rPr>
        <w:t>ложения</w:t>
      </w:r>
      <w:r w:rsidRPr="003E74EF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E23DD5" w:rsidRDefault="00E23DD5" w:rsidP="00E23DD5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Балл, равный 1, присваивается инвестиционному проекту при условии, что объект капитального строительства, в отношении которого подготовлена проектная документация, будучи аналогичным по назначению, виду и технико-экономическим показателям другим объектам капитального строительства, сведения о типовой проектной документации, в отношении которых включены в Реестр типовой проектной документации, ведение которого в соответствии с </w:t>
      </w:r>
      <w:hyperlink r:id="rId24" w:history="1">
        <w:r w:rsidRPr="003E74EF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29 марта 2013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106 "Об утверждении Правил формирования и ведения реестра типовой проектной документации, а также состава информации о проектной документации, которая подлежит внесению в реестр, и формы ее представления" организует департамент государственной политики в сфере строительства и архитектуры Министерства регионального развития Российской Федерации, имеет лучшие показатели соотношения стоимости строительства объекта капитального строительства к расчетному сроку эксплуатации, полезной площади к общей площади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единицу мощности, необходимого для эксплуатации объекта капитального строительства, а при равных показателях - при ее подготовке были применены ранее не применявшиеся архитектурно-планировочные, конструктивные, инженерно-технические, технологические и (или) организационные решения.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3DD5" w:rsidRDefault="00E23DD5" w:rsidP="00E23DD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Оценка эффективности осуществляется на основе следующих количественных критериев:</w:t>
      </w:r>
    </w:p>
    <w:p w:rsidR="00E23DD5" w:rsidRDefault="00E23DD5" w:rsidP="00E23DD5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311"/>
      <w:r>
        <w:rPr>
          <w:rFonts w:ascii="Times New Roman" w:hAnsi="Times New Roman" w:cs="Times New Roman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E23DD5" w:rsidRDefault="00E23DD5" w:rsidP="00E23DD5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312"/>
      <w:bookmarkEnd w:id="36"/>
      <w:proofErr w:type="gramStart"/>
      <w:r>
        <w:rPr>
          <w:rFonts w:ascii="Times New Roman" w:hAnsi="Times New Roman" w:cs="Times New Roman"/>
          <w:sz w:val="28"/>
          <w:szCs w:val="28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проекта;</w:t>
      </w:r>
      <w:proofErr w:type="gramEnd"/>
    </w:p>
    <w:p w:rsidR="00E23DD5" w:rsidRDefault="00E23DD5" w:rsidP="00E23DD5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313"/>
      <w:bookmarkEnd w:id="37"/>
      <w:proofErr w:type="gramStart"/>
      <w:r>
        <w:rPr>
          <w:rFonts w:ascii="Times New Roman" w:hAnsi="Times New Roman" w:cs="Times New Roman"/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E23DD5" w:rsidRDefault="00E23DD5" w:rsidP="00E23DD5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314"/>
      <w:bookmarkEnd w:id="38"/>
      <w:r>
        <w:rPr>
          <w:rFonts w:ascii="Times New Roman" w:hAnsi="Times New Roman" w:cs="Times New Roman"/>
          <w:sz w:val="28"/>
          <w:szCs w:val="28"/>
        </w:rPr>
        <w:t xml:space="preserve"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нужд;</w:t>
      </w:r>
    </w:p>
    <w:bookmarkEnd w:id="39"/>
    <w:p w:rsidR="00E23DD5" w:rsidRDefault="00E23DD5" w:rsidP="00E23DD5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E23DD5" w:rsidRDefault="00E23DD5" w:rsidP="00E23DD5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Оценка эффективности на основе количественных критериев рассчитывается по следующей формуле:</w:t>
      </w:r>
    </w:p>
    <w:p w:rsidR="00E23DD5" w:rsidRDefault="00E23DD5" w:rsidP="00E23DD5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265" cy="6534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995" cy="2609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балл оценки i-ого количественного критерия; р.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370" cy="225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весовой коэффициент 1-ого количественного критерия, в процентах;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995" cy="2254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общее число количественных критериев.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Требования к определению баллов оценки по каждому из количественных критериев установлены </w:t>
      </w:r>
      <w:hyperlink r:id="rId29" w:anchor="sub_234" w:history="1">
        <w:r w:rsidRPr="0053116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3.4 - 3.8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весовых коэффициентов количественных критериев в зависимости от типа инвестиционного проекта, устанавливаемые в целях Методики, приведены в </w:t>
      </w:r>
      <w:hyperlink r:id="rId30" w:anchor="sub_202" w:history="1">
        <w:r w:rsidRPr="0053116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значения баллов оценки по каждому из количественных критериев приведены в графе "Допустимый балл оценки" </w:t>
      </w:r>
      <w:hyperlink r:id="rId31" w:anchor="sub_20102" w:history="1">
        <w:r w:rsidRPr="0053116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таблицы 2 приложения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34"/>
      <w:r>
        <w:rPr>
          <w:rFonts w:ascii="Times New Roman" w:hAnsi="Times New Roman" w:cs="Times New Roman"/>
          <w:sz w:val="28"/>
          <w:szCs w:val="28"/>
        </w:rPr>
        <w:t>3.4. Критерий - значения количественных показателей (показателя) результатов реализации инвестиционного проекта.</w:t>
      </w:r>
    </w:p>
    <w:bookmarkEnd w:id="40"/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присвоения балла, равного 1, значения количественных показателей результатов его реализации в паспорте инвестиционного проекта должны отвечать следующим требованиям: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341"/>
      <w:r>
        <w:rPr>
          <w:rFonts w:ascii="Times New Roman" w:hAnsi="Times New Roman" w:cs="Times New Roman"/>
          <w:sz w:val="28"/>
          <w:szCs w:val="28"/>
        </w:rPr>
        <w:t xml:space="preserve"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</w:t>
      </w:r>
      <w:hyperlink r:id="rId32" w:history="1">
        <w:r w:rsidRPr="0053116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Общероссийским классификатором единиц измерения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342"/>
      <w:bookmarkEnd w:id="41"/>
      <w:r>
        <w:rPr>
          <w:rFonts w:ascii="Times New Roman" w:hAnsi="Times New Roman" w:cs="Times New Roman"/>
          <w:sz w:val="28"/>
          <w:szCs w:val="28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35"/>
      <w:bookmarkEnd w:id="42"/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  <w:proofErr w:type="gramEnd"/>
    </w:p>
    <w:bookmarkEnd w:id="43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Балл, равный 1, присваивается проекту, если значение отношения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его количественным показателям (показателю) результатов реализации проекта, не превышает аналогичного значения (значений) показателя (показателей) по проектам-аналогам.</w:t>
      </w:r>
      <w:proofErr w:type="gramEnd"/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Балл, равный 0,5, присваивается проекту, если значение отношения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его количественным показателям (показателю) результатов реализации проекта превышает значение указанного отношения по проекту-аналогу не более чем на 5 процентов.</w:t>
      </w:r>
      <w:proofErr w:type="gramEnd"/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Балл, равный 0, присваивается проекту, в случае если значение отношения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показателю.</w:t>
      </w:r>
      <w:proofErr w:type="gramEnd"/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 и доведенных до субъектов Российской Федерации после одобрения Правительством Российской Федерации.</w:t>
      </w:r>
      <w:proofErr w:type="gramEnd"/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36"/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proofErr w:type="gramEnd"/>
    </w:p>
    <w:bookmarkEnd w:id="44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обоснование спроса (потребности) на продукцию (услуги), создаваемую в результате реализации инвестиционного проекта.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Балл, равный 1, присваивается, если проектная мощность (планируемый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менее) потребности в данной продукции (услугах).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Балл, равный 0,5, присваивается, если потребность в данной продукции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>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37"/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Критерий -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(муниципальных) нужд.</w:t>
      </w:r>
      <w:proofErr w:type="gramEnd"/>
    </w:p>
    <w:bookmarkEnd w:id="45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(муниципальных) нужд, не превышает 100 процентов.</w:t>
      </w:r>
      <w:proofErr w:type="gramEnd"/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38"/>
      <w:r>
        <w:rPr>
          <w:rFonts w:ascii="Times New Roman" w:hAnsi="Times New Roman" w:cs="Times New Roman"/>
          <w:sz w:val="28"/>
          <w:szCs w:val="28"/>
        </w:rPr>
        <w:t>3.8.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bookmarkEnd w:id="46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 равен 1 в случаях: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381"/>
      <w:r>
        <w:rPr>
          <w:rFonts w:ascii="Times New Roman" w:hAnsi="Times New Roman" w:cs="Times New Roman"/>
          <w:sz w:val="28"/>
          <w:szCs w:val="28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382"/>
      <w:bookmarkEnd w:id="47"/>
      <w:r>
        <w:rPr>
          <w:rFonts w:ascii="Times New Roman" w:hAnsi="Times New Roman" w:cs="Times New Roman"/>
          <w:sz w:val="28"/>
          <w:szCs w:val="28"/>
        </w:rPr>
        <w:t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48"/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 равен 0,5 -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Балл равен 0 -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E23DD5" w:rsidRDefault="00E23DD5" w:rsidP="00E23DD5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Средневзвешенный уровень обеспеченности инженерной и транспортной инфраструктурой рассчитывается по формуле: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7895" cy="5816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35" cy="225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уровень обеспеченности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i-ым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видов необходимой инженерной и транспортной инфраструктуры.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 Расчет интегральной оценки эффективности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Интегральная оценка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Эинт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6060" cy="2254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254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качественных критериев;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254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оценка эффективности на основе количественных критериев;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интегральной оценки приведен в </w:t>
      </w:r>
      <w:hyperlink r:id="rId38" w:anchor="sub_210213" w:history="1">
        <w:r w:rsidRPr="00360C5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таблице 3 приложения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E23DD5" w:rsidRDefault="00E23DD5" w:rsidP="00E23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осуществлении оценки эффективности предельное (минимальное) значение интегральной оценки устанавливается равным 70 процентов. Соответствие или превышение числового значения интегральной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E23DD5" w:rsidRDefault="00E23DD5" w:rsidP="00E23DD5">
      <w:pPr>
        <w:rPr>
          <w:rFonts w:ascii="Times New Roman" w:hAnsi="Times New Roman" w:cs="Times New Roman"/>
        </w:rPr>
      </w:pPr>
    </w:p>
    <w:p w:rsidR="00E23DD5" w:rsidRDefault="00E23DD5" w:rsidP="00E23DD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0745AA" w:rsidRPr="000745AA" w:rsidRDefault="000745AA" w:rsidP="00E23DD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0745AA" w:rsidRPr="000745AA" w:rsidRDefault="009C4685" w:rsidP="00E23DD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финансового отдела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Заходякина</w:t>
      </w:r>
      <w:proofErr w:type="spellEnd"/>
    </w:p>
    <w:p w:rsidR="000745AA" w:rsidRDefault="000745AA" w:rsidP="00E23DD5">
      <w:pPr>
        <w:widowControl/>
        <w:suppressAutoHyphens w:val="0"/>
        <w:autoSpaceDE/>
        <w:sectPr w:rsidR="000745AA" w:rsidSect="00946957">
          <w:pgSz w:w="11906" w:h="16838"/>
          <w:pgMar w:top="1134" w:right="567" w:bottom="1134" w:left="1701" w:header="1139" w:footer="851" w:gutter="0"/>
          <w:cols w:space="720"/>
          <w:docGrid w:linePitch="326"/>
        </w:sectPr>
      </w:pPr>
    </w:p>
    <w:tbl>
      <w:tblPr>
        <w:tblW w:w="0" w:type="auto"/>
        <w:tblInd w:w="432" w:type="dxa"/>
        <w:tblLook w:val="04A0"/>
      </w:tblPr>
      <w:tblGrid>
        <w:gridCol w:w="10166"/>
        <w:gridCol w:w="4471"/>
      </w:tblGrid>
      <w:tr w:rsidR="00E23DD5" w:rsidTr="00E23DD5">
        <w:tc>
          <w:tcPr>
            <w:tcW w:w="10166" w:type="dxa"/>
          </w:tcPr>
          <w:p w:rsidR="00E23DD5" w:rsidRDefault="00E23DD5">
            <w:pPr>
              <w:pStyle w:val="1"/>
              <w:snapToGrid w:val="0"/>
              <w:ind w:left="0" w:firstLine="0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471" w:type="dxa"/>
          </w:tcPr>
          <w:p w:rsidR="00E23DD5" w:rsidRDefault="00E23DD5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ПРИЛОЖЕНИЕ</w:t>
            </w:r>
            <w:bookmarkStart w:id="49" w:name="sub_201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№ 1</w:t>
            </w:r>
          </w:p>
          <w:bookmarkEnd w:id="49"/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к Методике оценки эффективности</w:t>
            </w: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использования средств местного</w:t>
            </w: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бюджета, 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направляемых</w:t>
            </w:r>
            <w:proofErr w:type="gramEnd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на</w:t>
            </w:r>
          </w:p>
          <w:p w:rsidR="00E23DD5" w:rsidRDefault="00E23DD5">
            <w:pPr>
              <w:jc w:val="center"/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капитальные вложения</w:t>
            </w:r>
          </w:p>
        </w:tc>
      </w:tr>
    </w:tbl>
    <w:p w:rsidR="00E23DD5" w:rsidRDefault="00E23DD5" w:rsidP="00E23DD5"/>
    <w:p w:rsidR="00E23DD5" w:rsidRDefault="00E23DD5" w:rsidP="00E23DD5">
      <w:pPr>
        <w:pStyle w:val="1"/>
        <w:snapToGrid w:val="0"/>
        <w:spacing w:before="0" w:after="0"/>
        <w:ind w:left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23DD5" w:rsidRDefault="00E23DD5" w:rsidP="00E23DD5">
      <w:pPr>
        <w:pStyle w:val="1"/>
        <w:snapToGrid w:val="0"/>
        <w:spacing w:before="0" w:after="0"/>
        <w:ind w:left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РАСЧЕТ</w:t>
      </w:r>
    </w:p>
    <w:p w:rsidR="00E23DD5" w:rsidRDefault="00E23DD5" w:rsidP="00E23DD5">
      <w:pPr>
        <w:pStyle w:val="1"/>
        <w:snapToGrid w:val="0"/>
        <w:spacing w:before="0" w:after="0"/>
        <w:ind w:left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интегральной оценки эффективности инвестиционного проекта</w:t>
      </w:r>
    </w:p>
    <w:p w:rsidR="00E23DD5" w:rsidRDefault="00E23DD5" w:rsidP="00E23DD5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3DD5" w:rsidRDefault="00E23DD5" w:rsidP="00E23DD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проекта _____________________________________________________________________________________</w:t>
      </w:r>
    </w:p>
    <w:p w:rsidR="00E23DD5" w:rsidRDefault="00E23DD5" w:rsidP="00E23DD5">
      <w:pPr>
        <w:pStyle w:val="a4"/>
        <w:snapToGri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реализации инвестиционного проекта (строительство, реконструкция, в том числе с элементами реставрации, техническое перевооружение объектов капитального строительства, приобретение объектов недвижимого имущества) __________________________________________________________________________________________________________</w:t>
      </w:r>
    </w:p>
    <w:p w:rsidR="00E23DD5" w:rsidRDefault="00E23DD5" w:rsidP="00E23DD5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_________________________________________________________________________________________________</w:t>
      </w:r>
    </w:p>
    <w:p w:rsidR="00E23DD5" w:rsidRDefault="00E23DD5" w:rsidP="00E23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 _______________________________________________________________________________________________</w:t>
      </w:r>
    </w:p>
    <w:p w:rsidR="00E23DD5" w:rsidRDefault="00E23DD5" w:rsidP="00E23DD5">
      <w:pPr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pStyle w:val="1"/>
        <w:spacing w:before="0" w:after="0"/>
        <w:ind w:left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50" w:name="sub_20101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Таблица 1. Оценка соответствия инвестиционного проекта качественным критериям</w:t>
      </w:r>
      <w:bookmarkEnd w:id="50"/>
    </w:p>
    <w:tbl>
      <w:tblPr>
        <w:tblW w:w="1531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4822"/>
        <w:gridCol w:w="1702"/>
        <w:gridCol w:w="1702"/>
        <w:gridCol w:w="6381"/>
      </w:tblGrid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Допустимый балл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 оценки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865" cy="213995"/>
                  <wp:effectExtent l="19050" t="0" r="635" b="0"/>
                  <wp:docPr id="1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) (</w:t>
            </w:r>
            <w:proofErr w:type="gramEnd"/>
            <w:r>
              <w:rPr>
                <w:rFonts w:ascii="Times New Roman" w:hAnsi="Times New Roman" w:cs="Times New Roman"/>
              </w:rPr>
              <w:t>или "Критерий не применим")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к определению баллов оценки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обоснованием экономической целесообразности осуществления капитальных вложений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цели инвестиционного проекта приоритетам и целям, определенным в стратегии и программе социально-экономического развития,  долгосрочных  и ведомственных целевых программах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подход к решению конкретной проблемы в рамках инвестиционного проекта во взаимосвязи с программными мероприятиями, реализуемыми в рамках долгосрочных и ведомственных целевых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инвестиционных проектов, включенных в целевые программы, заявитель приводит наименование соответствующей программы, дату и реквизиты утверждения, а также наименование программного мероприятия, выполнение которого обеспечит осуществление инвестиционного проекта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органами местного самоуправления полномочий, отнесенных к предмету их 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необходимости строительства (реконструкции, технического перевооружения) объекта капитального строительства в связи с осуществлением соответствующими органами местного самоуправления полномочий, отнесенных к предмету их ведения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объемы, основные характеристики продукции (работ, услуг), не имеющей мировых и отечественных аналогов, либо замещаемой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«критерий не применим»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Документально подтвержденные данные по проекту-аналогу.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положительного заключения государственной экспертизы проектной </w:t>
            </w:r>
            <w:r>
              <w:rPr>
                <w:rFonts w:ascii="Times New Roman" w:hAnsi="Times New Roman" w:cs="Times New Roman"/>
              </w:rPr>
              <w:lastRenderedPageBreak/>
              <w:t>документации и результатов инженерных изысканий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"критерий не применим"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Реквизиты положительного заключения государственной экспертизы проектной документации и результатов </w:t>
            </w:r>
            <w:r>
              <w:rPr>
                <w:rFonts w:ascii="Times New Roman" w:hAnsi="Times New Roman" w:cs="Times New Roman"/>
              </w:rPr>
              <w:lastRenderedPageBreak/>
              <w:t>инженерных изысканий (в случае ее необходимости согласно законодательству Российской Федерации).</w:t>
            </w:r>
          </w:p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ссылка на соответствующие пункты и подпункты статьи 49 Градостроительного кодекса Российской Федерации;</w:t>
            </w:r>
          </w:p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планирования.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 – </w:t>
            </w:r>
            <w:r w:rsidRPr="00121AC5">
              <w:rPr>
                <w:rFonts w:ascii="Times New Roman" w:hAnsi="Times New Roman" w:cs="Times New Roman"/>
                <w:position w:val="-10"/>
              </w:rPr>
              <w:object w:dxaOrig="300" w:dyaOrig="340">
                <v:shape id="_x0000_i1026" type="#_x0000_t75" style="width:15pt;height:16.5pt" o:ole="">
                  <v:imagedata r:id="rId40" o:title=""/>
                </v:shape>
                <o:OLEObject Type="Embed" ProgID="Equation.3" ShapeID="_x0000_i1026" DrawAspect="Content" ObjectID="_1597484331" r:id="rId41"/>
              </w:objec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 w:rsidRPr="00121AC5">
              <w:rPr>
                <w:rFonts w:ascii="Times New Roman" w:hAnsi="Times New Roman" w:cs="Times New Roman"/>
                <w:position w:val="-28"/>
              </w:rPr>
              <w:object w:dxaOrig="3040" w:dyaOrig="700">
                <v:shape id="_x0000_i1027" type="#_x0000_t75" style="width:152.25pt;height:35.25pt" o:ole="">
                  <v:imagedata r:id="rId42" o:title=""/>
                </v:shape>
                <o:OLEObject Type="Embed" ProgID="Equation.3" ShapeID="_x0000_i1027" DrawAspect="Content" ObjectID="_1597484332" r:id="rId43"/>
              </w:object>
            </w:r>
          </w:p>
        </w:tc>
      </w:tr>
    </w:tbl>
    <w:p w:rsidR="00E23DD5" w:rsidRDefault="00E23DD5" w:rsidP="00E23DD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3DD5" w:rsidRDefault="00E23DD5" w:rsidP="00E23DD5">
      <w:pPr>
        <w:pStyle w:val="1"/>
        <w:spacing w:before="0" w:after="0"/>
        <w:ind w:left="0" w:firstLine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№2. Оценка соответствия инвестиционного проекта количественным критериям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3219"/>
        <w:gridCol w:w="1530"/>
        <w:gridCol w:w="1072"/>
        <w:gridCol w:w="1592"/>
        <w:gridCol w:w="2226"/>
        <w:gridCol w:w="4799"/>
      </w:tblGrid>
      <w:tr w:rsidR="00E23DD5" w:rsidTr="00E23DD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Допустимый балл оценки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 оценки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865" cy="20193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Весовой коэффициент критерия </w: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166370" cy="2254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Средневзвешенный балл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98475" cy="20193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документальные подтверждения</w:t>
            </w:r>
          </w:p>
        </w:tc>
      </w:tr>
      <w:tr w:rsidR="00E23DD5" w:rsidTr="00E23DD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3DD5" w:rsidTr="00E23DD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количественных показателей, результатов реализации проекта в соответствии с паспортом инвестиционного проекта</w:t>
            </w:r>
          </w:p>
        </w:tc>
      </w:tr>
      <w:tr w:rsidR="00E23DD5" w:rsidTr="00E23DD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входящих в состав инвестиционного </w:t>
            </w:r>
            <w:r>
              <w:rPr>
                <w:rFonts w:ascii="Times New Roman" w:hAnsi="Times New Roman" w:cs="Times New Roman"/>
              </w:rPr>
              <w:lastRenderedPageBreak/>
              <w:t>проекта,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сведения и технико-экономические показатели проекта-аналога, реализуемого (или реализованного) на территории края или в Российской Федерации, а также за рубежом (при отсутствии аналогов на территории России) в соответствии с приложением №4 к Методике</w:t>
            </w:r>
          </w:p>
        </w:tc>
      </w:tr>
      <w:tr w:rsidR="00E23DD5" w:rsidTr="00E23DD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</w:t>
            </w:r>
          </w:p>
        </w:tc>
      </w:tr>
      <w:tr w:rsidR="00E23DD5" w:rsidTr="00E23DD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муниципальных нужд</w:t>
            </w:r>
          </w:p>
        </w:tc>
      </w:tr>
      <w:tr w:rsidR="00E23DD5" w:rsidTr="00E23DD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планируемого объекта капитального строительства инженерной и транспортной инфраструктурой в объемах, достаточных для реализации </w:t>
            </w:r>
            <w:r>
              <w:rPr>
                <w:rFonts w:ascii="Times New Roman" w:hAnsi="Times New Roman" w:cs="Times New Roman"/>
              </w:rPr>
              <w:lastRenderedPageBreak/>
              <w:t>инвестиционного проекта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</w:tc>
      </w:tr>
      <w:tr w:rsidR="00E23DD5" w:rsidTr="00E23DD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8435" cy="189865"/>
                  <wp:effectExtent l="19050" t="0" r="0" b="0"/>
                  <wp:docPr id="2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546100"/>
                  <wp:effectExtent l="19050" t="0" r="0" b="0"/>
                  <wp:docPr id="2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DD5" w:rsidRDefault="00E23DD5" w:rsidP="00E23DD5">
      <w:pPr>
        <w:pStyle w:val="1"/>
        <w:snapToGrid w:val="0"/>
        <w:spacing w:before="0" w:after="0"/>
        <w:ind w:left="0" w:firstLine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51" w:name="sub_20103"/>
    </w:p>
    <w:p w:rsidR="00E23DD5" w:rsidRDefault="00E23DD5" w:rsidP="00E23DD5">
      <w:pPr>
        <w:pStyle w:val="1"/>
        <w:snapToGrid w:val="0"/>
        <w:spacing w:before="0" w:after="0"/>
        <w:ind w:left="0" w:firstLine="0"/>
        <w:contextualSpacing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Таблица 3. Интегральная оценка эффективности инвестиционного проекта</w:t>
      </w:r>
      <w:bookmarkEnd w:id="51"/>
    </w:p>
    <w:tbl>
      <w:tblPr>
        <w:tblW w:w="15225" w:type="dxa"/>
        <w:tblInd w:w="-95" w:type="dxa"/>
        <w:tblLayout w:type="fixed"/>
        <w:tblLook w:val="04A0"/>
      </w:tblPr>
      <w:tblGrid>
        <w:gridCol w:w="7998"/>
        <w:gridCol w:w="3754"/>
        <w:gridCol w:w="3473"/>
      </w:tblGrid>
      <w:tr w:rsidR="00E23DD5" w:rsidTr="00E23DD5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 эффективности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Весовой коэффициент</w:t>
            </w:r>
          </w:p>
        </w:tc>
      </w:tr>
      <w:tr w:rsidR="00E23DD5" w:rsidTr="00E23DD5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pStyle w:val="a5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эффективности на основе качественных критериев,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8435" cy="189865"/>
                  <wp:effectExtent l="19050" t="0" r="0" b="0"/>
                  <wp:docPr id="2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E23DD5" w:rsidTr="00E23DD5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pStyle w:val="a5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эффективности на основе количественных критериев,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8435" cy="189865"/>
                  <wp:effectExtent l="19050" t="0" r="0" b="0"/>
                  <wp:docPr id="2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E23DD5" w:rsidRDefault="00E23DD5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</w:tr>
      <w:tr w:rsidR="00E23DD5" w:rsidTr="00E23DD5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pStyle w:val="a5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0675" cy="189865"/>
                  <wp:effectExtent l="19050" t="0" r="3175" b="0"/>
                  <wp:docPr id="2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121AC5">
              <w:rPr>
                <w:rFonts w:ascii="Times New Roman" w:hAnsi="Times New Roman"/>
                <w:color w:val="000000"/>
                <w:position w:val="-12"/>
              </w:rPr>
              <w:object w:dxaOrig="2440" w:dyaOrig="360">
                <v:shape id="_x0000_i1028" type="#_x0000_t75" style="width:122.25pt;height:18pt" o:ole="">
                  <v:imagedata r:id="rId51" o:title=""/>
                </v:shape>
                <o:OLEObject Type="Embed" ProgID="Equation.3" ShapeID="_x0000_i1028" DrawAspect="Content" ObjectID="_1597484333" r:id="rId52"/>
              </w:object>
            </w:r>
          </w:p>
          <w:p w:rsidR="00E23DD5" w:rsidRDefault="00E23DD5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23DD5" w:rsidRDefault="00E23DD5" w:rsidP="00E23D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rPr>
          <w:rFonts w:ascii="Times New Roman" w:hAnsi="Times New Roman" w:cs="Times New Roman"/>
          <w:sz w:val="28"/>
          <w:szCs w:val="28"/>
        </w:rPr>
      </w:pPr>
    </w:p>
    <w:p w:rsidR="000745AA" w:rsidRDefault="000745AA" w:rsidP="00E23DD5">
      <w:pPr>
        <w:rPr>
          <w:rFonts w:ascii="Times New Roman" w:hAnsi="Times New Roman" w:cs="Times New Roman"/>
          <w:sz w:val="28"/>
          <w:szCs w:val="28"/>
        </w:rPr>
      </w:pPr>
    </w:p>
    <w:p w:rsidR="00946957" w:rsidRPr="000745AA" w:rsidRDefault="00946957" w:rsidP="0094695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финансового отдела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Т.В.Заходякина</w:t>
      </w:r>
      <w:proofErr w:type="spellEnd"/>
    </w:p>
    <w:p w:rsidR="00E23DD5" w:rsidRDefault="00E23DD5" w:rsidP="00E23DD5">
      <w:pPr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  <w:sectPr w:rsidR="00E23DD5">
          <w:pgSz w:w="16838" w:h="11906" w:orient="landscape"/>
          <w:pgMar w:top="1137" w:right="1134" w:bottom="1403" w:left="851" w:header="1134" w:footer="1127" w:gutter="0"/>
          <w:cols w:space="720"/>
        </w:sectPr>
      </w:pPr>
    </w:p>
    <w:tbl>
      <w:tblPr>
        <w:tblW w:w="0" w:type="auto"/>
        <w:tblLook w:val="04A0"/>
      </w:tblPr>
      <w:tblGrid>
        <w:gridCol w:w="5353"/>
        <w:gridCol w:w="4500"/>
      </w:tblGrid>
      <w:tr w:rsidR="00E23DD5" w:rsidTr="00E23DD5">
        <w:tc>
          <w:tcPr>
            <w:tcW w:w="5353" w:type="dxa"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E23DD5" w:rsidRDefault="00E23DD5">
            <w:pPr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ПРИЛОЖЕНИЕ № 2</w:t>
            </w:r>
            <w:bookmarkStart w:id="52" w:name="sub_202"/>
          </w:p>
          <w:bookmarkEnd w:id="52"/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к Методике оценки эффективности</w:t>
            </w: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использования средств местного</w:t>
            </w: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бюджета, 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направляемых</w:t>
            </w:r>
            <w:proofErr w:type="gramEnd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на</w:t>
            </w:r>
          </w:p>
          <w:p w:rsidR="00E23DD5" w:rsidRDefault="00E23DD5">
            <w:pPr>
              <w:jc w:val="center"/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капитальные вложения</w:t>
            </w:r>
          </w:p>
        </w:tc>
      </w:tr>
    </w:tbl>
    <w:p w:rsidR="00E23DD5" w:rsidRDefault="00E23DD5" w:rsidP="00E23DD5">
      <w:pPr>
        <w:pStyle w:val="1"/>
        <w:snapToGrid w:val="0"/>
        <w:spacing w:before="0" w:after="0"/>
        <w:ind w:left="0" w:firstLine="0"/>
        <w:contextualSpacing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23DD5" w:rsidRDefault="00E23DD5" w:rsidP="00E23DD5"/>
    <w:p w:rsidR="00E23DD5" w:rsidRDefault="00E23DD5" w:rsidP="00E23DD5">
      <w:pPr>
        <w:pStyle w:val="1"/>
        <w:snapToGrid w:val="0"/>
        <w:spacing w:before="0" w:after="0"/>
        <w:ind w:left="0" w:firstLine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Значения</w:t>
      </w:r>
    </w:p>
    <w:p w:rsidR="00E23DD5" w:rsidRDefault="00E23DD5" w:rsidP="00E23DD5">
      <w:pPr>
        <w:pStyle w:val="1"/>
        <w:snapToGrid w:val="0"/>
        <w:spacing w:before="0" w:after="0"/>
        <w:ind w:left="0" w:firstLine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весовых коэффициентов количественных критериев (в процентах)</w:t>
      </w:r>
    </w:p>
    <w:p w:rsidR="00E23DD5" w:rsidRDefault="00E23DD5" w:rsidP="00E23DD5"/>
    <w:tbl>
      <w:tblPr>
        <w:tblW w:w="9345" w:type="dxa"/>
        <w:tblInd w:w="1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3660"/>
        <w:gridCol w:w="2910"/>
        <w:gridCol w:w="2220"/>
      </w:tblGrid>
      <w:tr w:rsidR="00E23DD5" w:rsidTr="00E23DD5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N</w:t>
            </w:r>
          </w:p>
          <w:p w:rsidR="00E23DD5" w:rsidRDefault="00E23DD5">
            <w:pPr>
              <w:pStyle w:val="1"/>
              <w:spacing w:before="0" w:after="0"/>
              <w:ind w:left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Критерий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Строительство (реконструкция) объектов капитального строительства</w:t>
            </w:r>
          </w:p>
        </w:tc>
      </w:tr>
      <w:tr w:rsidR="00E23DD5" w:rsidTr="00E23DD5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DD5" w:rsidRDefault="00E23DD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DD5" w:rsidRDefault="00E23DD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  <w:t xml:space="preserve">здравоохранения, образования, культуры и спорта, коммунальной инфраструктуры,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</w:rPr>
              <w:t>административных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  <w:t xml:space="preserve"> и иных зданий, охраны окружающей среды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E23DD5" w:rsidTr="00E23DD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 w:line="220" w:lineRule="exact"/>
              <w:ind w:left="-51"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 w:line="220" w:lineRule="exact"/>
              <w:ind w:left="-51"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</w:rPr>
              <w:t>4</w:t>
            </w:r>
          </w:p>
        </w:tc>
      </w:tr>
      <w:tr w:rsidR="00E23DD5" w:rsidTr="00E23DD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3DD5" w:rsidTr="00E23DD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E23DD5" w:rsidTr="00E23DD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23DD5" w:rsidTr="00E23DD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E23DD5" w:rsidTr="00E23DD5">
        <w:trPr>
          <w:trHeight w:val="19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Возможность обеспечения планируемого объекта капитального строительства </w:t>
            </w:r>
          </w:p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инженерной и транспортной инфраструктурами в объемах, достаточных для реализации проекта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23DD5" w:rsidTr="00E23DD5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Итого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</w:tr>
    </w:tbl>
    <w:p w:rsidR="00E23DD5" w:rsidRDefault="00E23DD5" w:rsidP="00E23DD5">
      <w:pPr>
        <w:ind w:firstLine="720"/>
        <w:jc w:val="both"/>
      </w:pPr>
    </w:p>
    <w:p w:rsidR="00E23DD5" w:rsidRDefault="00E23DD5" w:rsidP="00E23DD5"/>
    <w:p w:rsidR="000745AA" w:rsidRDefault="000745AA" w:rsidP="00E23DD5"/>
    <w:p w:rsidR="00946957" w:rsidRPr="000745AA" w:rsidRDefault="00946957" w:rsidP="0094695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финансового отдела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Т.В.Заходякина</w:t>
      </w:r>
      <w:proofErr w:type="spellEnd"/>
    </w:p>
    <w:p w:rsidR="00E23DD5" w:rsidRDefault="00E23DD5" w:rsidP="00E23DD5">
      <w:pPr>
        <w:widowControl/>
        <w:suppressAutoHyphens w:val="0"/>
        <w:autoSpaceDE/>
        <w:rPr>
          <w:rFonts w:ascii="Times New Roman" w:hAnsi="Times New Roman"/>
          <w:color w:val="000000"/>
        </w:rPr>
        <w:sectPr w:rsidR="00E23DD5">
          <w:pgSz w:w="11906" w:h="16838"/>
          <w:pgMar w:top="1213" w:right="851" w:bottom="1403" w:left="1418" w:header="1134" w:footer="1127" w:gutter="0"/>
          <w:cols w:space="720"/>
        </w:sectPr>
      </w:pPr>
    </w:p>
    <w:tbl>
      <w:tblPr>
        <w:tblW w:w="0" w:type="auto"/>
        <w:tblLook w:val="04A0"/>
      </w:tblPr>
      <w:tblGrid>
        <w:gridCol w:w="5211"/>
        <w:gridCol w:w="4500"/>
      </w:tblGrid>
      <w:tr w:rsidR="00E23DD5" w:rsidTr="00E23DD5">
        <w:tc>
          <w:tcPr>
            <w:tcW w:w="5211" w:type="dxa"/>
          </w:tcPr>
          <w:p w:rsidR="00E23DD5" w:rsidRDefault="00E23D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E23DD5" w:rsidRDefault="00E23DD5">
            <w:pPr>
              <w:pageBreakBefore/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ПРИЛОЖЕНИЕ № 3</w:t>
            </w:r>
            <w:bookmarkStart w:id="53" w:name="sub_203"/>
          </w:p>
          <w:bookmarkEnd w:id="53"/>
          <w:p w:rsidR="00E23DD5" w:rsidRDefault="00E23DD5">
            <w:pPr>
              <w:pageBreakBefore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к </w:t>
            </w:r>
            <w:hyperlink r:id="rId53" w:anchor="sub_200" w:history="1">
              <w:r w:rsidRPr="000745A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Методике</w:t>
              </w:r>
            </w:hyperlink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оценки эффективности</w:t>
            </w: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использования средств местного</w:t>
            </w: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бюджета, 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направляемых</w:t>
            </w:r>
            <w:proofErr w:type="gramEnd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на</w:t>
            </w:r>
          </w:p>
          <w:p w:rsidR="00E23DD5" w:rsidRDefault="00E23DD5">
            <w:pPr>
              <w:jc w:val="center"/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капитальные вложения</w:t>
            </w:r>
          </w:p>
        </w:tc>
      </w:tr>
    </w:tbl>
    <w:p w:rsidR="00E23DD5" w:rsidRDefault="00E23DD5" w:rsidP="00E23DD5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E23DD5" w:rsidRDefault="00E23DD5" w:rsidP="00E23DD5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E23DD5" w:rsidRDefault="00E23DD5" w:rsidP="00E23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количественные показатели,</w:t>
      </w:r>
    </w:p>
    <w:p w:rsidR="00E23DD5" w:rsidRDefault="00E23DD5" w:rsidP="00E23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характеризующие цель и результаты реализации инвестиционного проекта</w:t>
      </w:r>
    </w:p>
    <w:tbl>
      <w:tblPr>
        <w:tblW w:w="960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61"/>
        <w:gridCol w:w="3262"/>
        <w:gridCol w:w="3677"/>
      </w:tblGrid>
      <w:tr w:rsidR="00E23DD5" w:rsidTr="00E23DD5">
        <w:trPr>
          <w:trHeight w:val="211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Объект капитального строительства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Количественный показатель</w:t>
            </w:r>
          </w:p>
        </w:tc>
      </w:tr>
      <w:tr w:rsidR="00E23DD5" w:rsidTr="00E23DD5">
        <w:tc>
          <w:tcPr>
            <w:tcW w:w="9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D5" w:rsidRDefault="00E23DD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характеризующий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прямые (непосредственные) результаты проекта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характеризующий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конечные результаты проекта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23DD5" w:rsidTr="00E23DD5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Учреждения здравоохранения (медицинские центры, больницы, поликлиники, родильные дома, диспансеры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мощность объекта: количество койко-мест; количество посещений в смену;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общая площадь здания, кв. метров;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строительный объем, куб. метров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1) количество создаваемых (сохраняемых) рабочих мест, единицы;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учреждения.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мощность объекта: количество мест;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общая площадь здания, кв. метров;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строительный объем, куб. метров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количество создаваемых (сохраняемых) рабочих мест, единицы;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рост обеспеченности (в расчете на 100 детей) местами в дошкольных образовательных, общеобразовательных учебных учреждениях, центрах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детскоготворчества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 процентах к уровню обеспеченности до реализации проекта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Учреждения культуры (театры, музеи, библиотеки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мощность объекта: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мест, количество посетителей в день; для библиотек - количество единиц библиотечного фонда;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2) общая площадь здания, кв. метров;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строительный объем, куб. метров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1) количество создаваемых (сохраняемых) рабочих мест, единицы;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рост обеспеченности (в расчете на 1000 жителей) местами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учреждениях культуры, в процентах к уровню обеспеченности до реализации проекта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мощность объекта: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мест;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общая площадь здания, кв. метров;</w:t>
            </w:r>
          </w:p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строительный объем, куб. метров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количество создаваемых (сохраняемых) рабочих мест, единицы;</w:t>
            </w:r>
          </w:p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рост обеспеченности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общая площадь здания, кв. метров;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строительный объем, куб. метров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количество создаваемых (сохраняемых) рабочих мест, единицы;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рост обеспеченности объектами физической культуры и спорта, рост количества ме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 в пр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оцентах к уровню обеспеченности до реализации проекта</w:t>
            </w:r>
          </w:p>
        </w:tc>
      </w:tr>
      <w:tr w:rsidR="00E23DD5" w:rsidTr="00E23DD5">
        <w:trPr>
          <w:trHeight w:val="245"/>
        </w:trPr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2. Строительство (реконструкция) общественных зданий и жилых помещений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Жилые дома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общая площадь объекта, кв. метров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полезная жилая площадь объекта, кв. метров;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количество квартир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сокращение количества очередников на улучшение жилищных условий, в процентах к количеству очередников до реализации проекта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Административные здания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общая площадь объекта, кв. метров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полезная и служебная площадь объекта, кв. метров;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строительный объем куб. метров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E23DD5" w:rsidTr="00E23DD5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3. Строительство (реконструкция) объектов коммунальной инфраструктуры и охраны окружающей среды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мощность объекта: объем переработки очищаемого ресурса, куб. метров (тонн) в сутки (год)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количество создаваемых (сохраняемых) рабочих мест, единицы;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срок безопасного хранения захороненных ТПО, лет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и электроснабжения)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мощность объекта в соответствующих натуральных единицах измерения;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размерные и иные характеристики объекта (газопровода-отвода 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давление; электрических сетей - км, напряжение и другое)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количество создаваемых (сохраняемых) рабочих мест;</w:t>
            </w:r>
          </w:p>
          <w:p w:rsidR="00E23DD5" w:rsidRDefault="00E23DD5">
            <w:pPr>
              <w:pStyle w:val="a5"/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увеличение количества населенных пунктов, имеющих водопровод и канализацию, единицы;</w:t>
            </w:r>
          </w:p>
          <w:p w:rsidR="00E23DD5" w:rsidRDefault="00E23DD5">
            <w:pPr>
              <w:pStyle w:val="a5"/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увеличение уровня газификации региона, в процентах к уровню газификации до начала реализации проекта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Сортировка, переработка и утилизация твердых бытовых отходов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мощность объекта: объем переработки твердых бытовых отходов, тонн в сутки (год)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количество создаваемых (сохраняемых) рабочих мест, единицы;</w:t>
            </w:r>
          </w:p>
          <w:p w:rsidR="00E23DD5" w:rsidRDefault="00E23DD5">
            <w:pPr>
              <w:pStyle w:val="a5"/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закрытие существующих свалок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твердых бытовых отходов, общая площадь результативных земель, гектары</w:t>
            </w:r>
          </w:p>
        </w:tc>
      </w:tr>
      <w:tr w:rsidR="00E23DD5" w:rsidTr="00E23DD5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4. Строительство (реконструкция) производственных объектов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Производственные объекты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количество создаваемых (сохраняемых) рабочих мест, единицы;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конечные результаты с учетом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E23DD5" w:rsidTr="00E23DD5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5. Строительство (реконструкция) инфраструктуры инновационной системы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инновационно-технологические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центры, бизнес - инкубаторы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общая площадь объекта, кв. метров;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количество создаваемых (сохраняемых) рабочих мест, единицы;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повышение доли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инновационно-активных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организаций, осуществляющих технологические инновации, в общем числе организаций, процентов;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повышение доли инновационной продукции в общем объеме выпускаемой продукции, в процентах</w:t>
            </w:r>
          </w:p>
        </w:tc>
      </w:tr>
      <w:tr w:rsidR="00E23DD5" w:rsidTr="00E23DD5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1"/>
              <w:snapToGrid w:val="0"/>
              <w:spacing w:before="0" w:after="0"/>
              <w:ind w:left="0" w:firstLine="0"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6. Строительство (реконструкция) объектов транспортной инфраструктуры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Пути сообщения общего пользования (межпоселковые автомобильные дороги с твердым покрытием; межпоселковые трубопроводы)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эксплуатационная длина путей сообщения общего пользования,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иные размерные характеристики объекта в соответствующих единицах измерения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количество создаваемых (сохраняемых) рабочих мест, единицы;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объем (увеличение объема): грузооборота транспорта общего пользования,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тонно-км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год; пассажирооборота железнодорожного, автобусного и другого транспорта,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пассажиро-км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год;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сокращение времени пребывания грузов, пассажиров в пути, процентов;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E23DD5" w:rsidTr="00E23DD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общая площадь объекта, кв. метров;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эксплуатационная длина объекта,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иные размерные характеристики объекта в соответствующих единицах измерения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количество создаваемых (сохраняемых) рабочих мест, единицы;</w:t>
            </w:r>
          </w:p>
          <w:p w:rsidR="00E23DD5" w:rsidRDefault="00E23DD5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объем (увеличение объема) грузооборота транспорта, тонн-км в год;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объем (увеличение объема) пассажирооборота железнодорожного, автобусного и другого транспорта,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пассажиро-км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 год;</w:t>
            </w:r>
          </w:p>
          <w:p w:rsidR="00E23DD5" w:rsidRDefault="00E23DD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сокращение времени пребывания грузов, пассажиров в пути, процентов</w:t>
            </w:r>
          </w:p>
        </w:tc>
      </w:tr>
    </w:tbl>
    <w:p w:rsidR="00E23DD5" w:rsidRDefault="00E23DD5" w:rsidP="00E23DD5">
      <w:pPr>
        <w:jc w:val="both"/>
      </w:pP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57" w:rsidRPr="000745AA" w:rsidRDefault="00946957" w:rsidP="0094695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финансового отдела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Т.В.Заходякина</w:t>
      </w:r>
      <w:proofErr w:type="spellEnd"/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E23DD5">
      <w:pPr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2" w:type="dxa"/>
        <w:tblLook w:val="04A0"/>
      </w:tblPr>
      <w:tblGrid>
        <w:gridCol w:w="4779"/>
        <w:gridCol w:w="4500"/>
      </w:tblGrid>
      <w:tr w:rsidR="00E23DD5" w:rsidTr="00E23DD5">
        <w:tc>
          <w:tcPr>
            <w:tcW w:w="4779" w:type="dxa"/>
          </w:tcPr>
          <w:p w:rsidR="00E23DD5" w:rsidRDefault="00E23DD5">
            <w:pPr>
              <w:pStyle w:val="1"/>
              <w:snapToGrid w:val="0"/>
              <w:ind w:left="0" w:firstLine="0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E23DD5" w:rsidRDefault="00E23DD5">
            <w:pPr>
              <w:pageBreakBefore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0745AA" w:rsidRDefault="000745AA">
            <w:pPr>
              <w:pageBreakBefore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0745AA" w:rsidRDefault="000745AA">
            <w:pPr>
              <w:pageBreakBefore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E23DD5" w:rsidRDefault="00E23DD5">
            <w:pPr>
              <w:pageBreakBefore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E23DD5" w:rsidRDefault="00E23DD5">
            <w:pPr>
              <w:pageBreakBefore/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ПРИЛОЖЕНИЕ № 4</w:t>
            </w:r>
            <w:bookmarkStart w:id="54" w:name="sub_204"/>
          </w:p>
          <w:bookmarkEnd w:id="54"/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к Методике оценки эффективности</w:t>
            </w: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использования средств местного</w:t>
            </w:r>
          </w:p>
          <w:p w:rsidR="00E23DD5" w:rsidRDefault="00E23DD5">
            <w:pPr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бюджета, </w:t>
            </w:r>
            <w:proofErr w:type="gramStart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направляемых</w:t>
            </w:r>
            <w:proofErr w:type="gramEnd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на</w:t>
            </w:r>
          </w:p>
          <w:p w:rsidR="00E23DD5" w:rsidRDefault="00E23DD5">
            <w:pPr>
              <w:jc w:val="center"/>
            </w:pP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капитальные вложения</w:t>
            </w:r>
          </w:p>
        </w:tc>
      </w:tr>
    </w:tbl>
    <w:p w:rsidR="00E23DD5" w:rsidRDefault="00E23DD5" w:rsidP="00E23DD5">
      <w:pPr>
        <w:pStyle w:val="1"/>
        <w:snapToGrid w:val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23DD5" w:rsidRDefault="00E23DD5" w:rsidP="00E23DD5">
      <w:pPr>
        <w:pStyle w:val="1"/>
        <w:snapToGrid w:val="0"/>
        <w:spacing w:before="0" w:after="0"/>
        <w:ind w:left="0" w:firstLine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Сведения</w:t>
      </w:r>
    </w:p>
    <w:p w:rsidR="00E23DD5" w:rsidRDefault="00E23DD5" w:rsidP="00E23DD5">
      <w:pPr>
        <w:pStyle w:val="1"/>
        <w:snapToGrid w:val="0"/>
        <w:spacing w:before="0" w:after="0"/>
        <w:ind w:left="0" w:firstLine="0"/>
        <w:contextualSpacing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и количественные показатели результатов реализации инвестиционного проекта-аналога</w:t>
      </w:r>
    </w:p>
    <w:p w:rsidR="00E23DD5" w:rsidRDefault="00E23DD5" w:rsidP="00E23DD5"/>
    <w:p w:rsidR="00E23DD5" w:rsidRDefault="00E23DD5" w:rsidP="00E23DD5">
      <w:pPr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инвестиционного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проекта________________________________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3DD5" w:rsidRDefault="00E23DD5" w:rsidP="00E23DD5">
      <w:pPr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реализации____________________________________________________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3DD5" w:rsidRDefault="00E23DD5" w:rsidP="00E23DD5">
      <w:pPr>
        <w:ind w:right="-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объекта__________________________________________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3DD5" w:rsidRDefault="00E23DD5" w:rsidP="00E23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 инвестиционного проекта (строительство, реконструкция объекта капитального строительства, иные инвестиции в основной капитал)___________________________________________________________.</w:t>
      </w:r>
    </w:p>
    <w:p w:rsidR="00E23DD5" w:rsidRDefault="00E23DD5" w:rsidP="00E23DD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3DD5" w:rsidRDefault="00E23DD5" w:rsidP="00E23DD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Сметная стоимость и количественные показатели результатов реализации инвестиционного проекта</w:t>
      </w:r>
    </w:p>
    <w:tbl>
      <w:tblPr>
        <w:tblW w:w="9210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809"/>
        <w:gridCol w:w="1260"/>
        <w:gridCol w:w="1431"/>
      </w:tblGrid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инвестиционному проекту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Сметная стоимость объекта-аналога по заключению государственной экспертизы (с указанием года ее получения) в ценах года расчета сметной стоимости планируемого объекта капитального строительства,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дорогостоящие работы и материалы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дорогостоящие машины и оборудование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прямые результаты реализации проекта-аналога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</w:tr>
      <w:tr w:rsidR="00E23DD5" w:rsidTr="00E23D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DD5" w:rsidRDefault="00E23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5" w:rsidRDefault="00E23DD5">
            <w:pPr>
              <w:rPr>
                <w:rFonts w:ascii="Times New Roman" w:hAnsi="Times New Roman" w:cs="Times New Roman"/>
              </w:rPr>
            </w:pPr>
          </w:p>
        </w:tc>
      </w:tr>
    </w:tbl>
    <w:p w:rsidR="00E23DD5" w:rsidRDefault="00E23DD5" w:rsidP="00E23DD5">
      <w:pPr>
        <w:ind w:firstLine="720"/>
        <w:jc w:val="both"/>
      </w:pPr>
    </w:p>
    <w:p w:rsidR="006B619D" w:rsidRDefault="006B619D" w:rsidP="00E23DD5">
      <w:pPr>
        <w:ind w:firstLine="720"/>
        <w:jc w:val="both"/>
      </w:pPr>
    </w:p>
    <w:p w:rsidR="006B619D" w:rsidRPr="000745AA" w:rsidRDefault="00946957" w:rsidP="006B619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B619D">
        <w:rPr>
          <w:rFonts w:ascii="Times New Roman" w:hAnsi="Times New Roman" w:cs="Times New Roman"/>
          <w:sz w:val="28"/>
          <w:szCs w:val="28"/>
        </w:rPr>
        <w:t xml:space="preserve">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отдела                  </w:t>
      </w:r>
      <w:r w:rsidR="006B61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Т.В.Заходякина</w:t>
      </w:r>
      <w:proofErr w:type="spellEnd"/>
    </w:p>
    <w:p w:rsidR="0020100F" w:rsidRDefault="0020100F" w:rsidP="006B619D">
      <w:pPr>
        <w:jc w:val="both"/>
      </w:pPr>
    </w:p>
    <w:sectPr w:rsidR="0020100F" w:rsidSect="00E23DD5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3DD5"/>
    <w:rsid w:val="00023D47"/>
    <w:rsid w:val="000745AA"/>
    <w:rsid w:val="00121AC5"/>
    <w:rsid w:val="001A3AB8"/>
    <w:rsid w:val="0020100F"/>
    <w:rsid w:val="00230550"/>
    <w:rsid w:val="002332E3"/>
    <w:rsid w:val="002D54DE"/>
    <w:rsid w:val="002E6089"/>
    <w:rsid w:val="00360C50"/>
    <w:rsid w:val="003C6BC4"/>
    <w:rsid w:val="003E74EF"/>
    <w:rsid w:val="00421DA4"/>
    <w:rsid w:val="00461112"/>
    <w:rsid w:val="004E1DE6"/>
    <w:rsid w:val="0053116C"/>
    <w:rsid w:val="005B44FD"/>
    <w:rsid w:val="006343D9"/>
    <w:rsid w:val="00674414"/>
    <w:rsid w:val="0069144D"/>
    <w:rsid w:val="006B619D"/>
    <w:rsid w:val="008616ED"/>
    <w:rsid w:val="008B04F2"/>
    <w:rsid w:val="008F2A7C"/>
    <w:rsid w:val="00946957"/>
    <w:rsid w:val="0099480C"/>
    <w:rsid w:val="009A4E16"/>
    <w:rsid w:val="009C310B"/>
    <w:rsid w:val="009C4685"/>
    <w:rsid w:val="009E0298"/>
    <w:rsid w:val="009F5F3F"/>
    <w:rsid w:val="00A127A3"/>
    <w:rsid w:val="00A522F5"/>
    <w:rsid w:val="00AB0AF9"/>
    <w:rsid w:val="00AC422A"/>
    <w:rsid w:val="00B21A1B"/>
    <w:rsid w:val="00B50798"/>
    <w:rsid w:val="00B77D2B"/>
    <w:rsid w:val="00BD6B03"/>
    <w:rsid w:val="00C51AF2"/>
    <w:rsid w:val="00CA5243"/>
    <w:rsid w:val="00CF538D"/>
    <w:rsid w:val="00D959F4"/>
    <w:rsid w:val="00DA3313"/>
    <w:rsid w:val="00E23DD5"/>
    <w:rsid w:val="00F5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3DD5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DD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E23DD5"/>
    <w:rPr>
      <w:color w:val="00008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E23DD5"/>
    <w:pPr>
      <w:jc w:val="both"/>
    </w:pPr>
  </w:style>
  <w:style w:type="paragraph" w:customStyle="1" w:styleId="a5">
    <w:name w:val="Прижатый влево"/>
    <w:basedOn w:val="a"/>
    <w:next w:val="a"/>
    <w:rsid w:val="00E23DD5"/>
  </w:style>
  <w:style w:type="character" w:customStyle="1" w:styleId="a6">
    <w:name w:val="Цветовое выделение"/>
    <w:rsid w:val="00E23DD5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E23DD5"/>
    <w:rPr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E23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D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421DA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empty">
    <w:name w:val="empty"/>
    <w:basedOn w:val="a"/>
    <w:rsid w:val="008B04F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3">
    <w:name w:val="s_3"/>
    <w:basedOn w:val="a"/>
    <w:rsid w:val="008B04F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1">
    <w:name w:val="s_1"/>
    <w:basedOn w:val="a"/>
    <w:rsid w:val="008B04F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a">
    <w:name w:val="Emphasis"/>
    <w:uiPriority w:val="20"/>
    <w:qFormat/>
    <w:rsid w:val="008B04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26" Type="http://schemas.openxmlformats.org/officeDocument/2006/relationships/image" Target="media/image7.emf"/><Relationship Id="rId39" Type="http://schemas.openxmlformats.org/officeDocument/2006/relationships/image" Target="media/image15.emf"/><Relationship Id="rId21" Type="http://schemas.openxmlformats.org/officeDocument/2006/relationships/hyperlink" Target="garantF1://12038258.49" TargetMode="External"/><Relationship Id="rId34" Type="http://schemas.openxmlformats.org/officeDocument/2006/relationships/image" Target="media/image11.emf"/><Relationship Id="rId42" Type="http://schemas.openxmlformats.org/officeDocument/2006/relationships/image" Target="media/image17.wmf"/><Relationship Id="rId47" Type="http://schemas.openxmlformats.org/officeDocument/2006/relationships/image" Target="media/image21.emf"/><Relationship Id="rId50" Type="http://schemas.openxmlformats.org/officeDocument/2006/relationships/image" Target="media/image24.emf"/><Relationship Id="rId55" Type="http://schemas.openxmlformats.org/officeDocument/2006/relationships/theme" Target="theme/theme1.xml"/><Relationship Id="rId7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12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17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0.emf"/><Relationship Id="rId38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46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29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41" Type="http://schemas.openxmlformats.org/officeDocument/2006/relationships/oleObject" Target="embeddings/oleObject2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24" Type="http://schemas.openxmlformats.org/officeDocument/2006/relationships/hyperlink" Target="garantF1://70326720.0" TargetMode="External"/><Relationship Id="rId32" Type="http://schemas.openxmlformats.org/officeDocument/2006/relationships/hyperlink" Target="garantF1://79222.0" TargetMode="External"/><Relationship Id="rId37" Type="http://schemas.openxmlformats.org/officeDocument/2006/relationships/image" Target="media/image14.emf"/><Relationship Id="rId40" Type="http://schemas.openxmlformats.org/officeDocument/2006/relationships/image" Target="media/image16.wmf"/><Relationship Id="rId45" Type="http://schemas.openxmlformats.org/officeDocument/2006/relationships/image" Target="media/image19.emf"/><Relationship Id="rId53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emf"/><Relationship Id="rId23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28" Type="http://schemas.openxmlformats.org/officeDocument/2006/relationships/image" Target="media/image9.emf"/><Relationship Id="rId36" Type="http://schemas.openxmlformats.org/officeDocument/2006/relationships/image" Target="media/image13.emf"/><Relationship Id="rId49" Type="http://schemas.openxmlformats.org/officeDocument/2006/relationships/image" Target="media/image23.emf"/><Relationship Id="rId10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19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31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44" Type="http://schemas.openxmlformats.org/officeDocument/2006/relationships/image" Target="media/image18.emf"/><Relationship Id="rId52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14" Type="http://schemas.openxmlformats.org/officeDocument/2006/relationships/image" Target="media/image3.emf"/><Relationship Id="rId22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27" Type="http://schemas.openxmlformats.org/officeDocument/2006/relationships/image" Target="media/image8.emf"/><Relationship Id="rId30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35" Type="http://schemas.openxmlformats.org/officeDocument/2006/relationships/image" Target="media/image12.emf"/><Relationship Id="rId43" Type="http://schemas.openxmlformats.org/officeDocument/2006/relationships/oleObject" Target="embeddings/oleObject3.bin"/><Relationship Id="rId48" Type="http://schemas.openxmlformats.org/officeDocument/2006/relationships/image" Target="media/image22.emf"/><Relationship Id="rId8" Type="http://schemas.openxmlformats.org/officeDocument/2006/relationships/hyperlink" Target="file:///C:\Users\&#1040;&#1076;&#1084;&#1080;&#1085;&#1080;&#1089;&#1090;&#1088;&#1072;&#1090;&#1086;&#1088;\Desktop\postanovlenie-536-1.docx" TargetMode="External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1F18-7E9B-416B-A54B-F5116B0E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7704</Words>
  <Characters>43917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2018-08-07T06:57:00Z</cp:lastPrinted>
  <dcterms:created xsi:type="dcterms:W3CDTF">2018-07-11T06:09:00Z</dcterms:created>
  <dcterms:modified xsi:type="dcterms:W3CDTF">2018-09-03T09:52:00Z</dcterms:modified>
</cp:coreProperties>
</file>